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0976F" w14:textId="77777777" w:rsidR="00B449E5" w:rsidRDefault="002844B5" w:rsidP="00112A0D">
      <w:pPr>
        <w:rPr>
          <w:b/>
        </w:rPr>
      </w:pPr>
      <w:r>
        <w:rPr>
          <w:rFonts w:hint="eastAsia"/>
          <w:b/>
        </w:rPr>
        <w:t>第</w:t>
      </w:r>
      <w:r>
        <w:rPr>
          <w:rFonts w:hint="eastAsia"/>
          <w:b/>
        </w:rPr>
        <w:t>F</w:t>
      </w:r>
      <w:r>
        <w:rPr>
          <w:rFonts w:hint="eastAsia"/>
          <w:b/>
        </w:rPr>
        <w:t>節　特許及び</w:t>
      </w:r>
      <w:r w:rsidR="00112A0D">
        <w:rPr>
          <w:rFonts w:hint="eastAsia"/>
          <w:b/>
        </w:rPr>
        <w:t>非開示の</w:t>
      </w:r>
      <w:r>
        <w:rPr>
          <w:rFonts w:hint="eastAsia"/>
          <w:b/>
        </w:rPr>
        <w:t>試験データその他のデータ</w:t>
      </w:r>
    </w:p>
    <w:p w14:paraId="572E3419" w14:textId="77777777" w:rsidR="00AB5115" w:rsidRDefault="00AB5115" w:rsidP="00112A0D">
      <w:pPr>
        <w:rPr>
          <w:b/>
        </w:rPr>
      </w:pPr>
    </w:p>
    <w:p w14:paraId="22917475" w14:textId="77777777" w:rsidR="00D621BD" w:rsidRDefault="00D621BD" w:rsidP="00112A0D">
      <w:pPr>
        <w:rPr>
          <w:b/>
        </w:rPr>
      </w:pPr>
      <w:r>
        <w:rPr>
          <w:rFonts w:hint="eastAsia"/>
          <w:b/>
        </w:rPr>
        <w:t>第</w:t>
      </w:r>
      <w:r>
        <w:rPr>
          <w:rFonts w:hint="eastAsia"/>
          <w:b/>
        </w:rPr>
        <w:t>A</w:t>
      </w:r>
      <w:r>
        <w:rPr>
          <w:rFonts w:hint="eastAsia"/>
          <w:b/>
        </w:rPr>
        <w:t xml:space="preserve">款　</w:t>
      </w:r>
      <w:r w:rsidR="004E332D">
        <w:rPr>
          <w:rFonts w:hint="eastAsia"/>
          <w:b/>
        </w:rPr>
        <w:t>特許一般</w:t>
      </w:r>
    </w:p>
    <w:p w14:paraId="412D6A05" w14:textId="77777777" w:rsidR="00AB5115" w:rsidRDefault="00AB5115" w:rsidP="00112A0D">
      <w:pPr>
        <w:rPr>
          <w:b/>
        </w:rPr>
      </w:pPr>
    </w:p>
    <w:p w14:paraId="06492088" w14:textId="77777777" w:rsidR="00D621BD" w:rsidRDefault="00947F50" w:rsidP="00112A0D">
      <w:pPr>
        <w:rPr>
          <w:b/>
        </w:rPr>
      </w:pPr>
      <w:r>
        <w:rPr>
          <w:rFonts w:hint="eastAsia"/>
          <w:b/>
        </w:rPr>
        <w:t>第</w:t>
      </w:r>
      <w:r>
        <w:rPr>
          <w:rFonts w:hint="eastAsia"/>
          <w:b/>
        </w:rPr>
        <w:t>18.37</w:t>
      </w:r>
      <w:r>
        <w:rPr>
          <w:rFonts w:hint="eastAsia"/>
          <w:b/>
        </w:rPr>
        <w:t>条　特許を受けることができる対象事項</w:t>
      </w:r>
    </w:p>
    <w:p w14:paraId="3E71A54C" w14:textId="77777777" w:rsidR="00AB5115" w:rsidRDefault="00AB5115" w:rsidP="00112A0D">
      <w:pPr>
        <w:rPr>
          <w:b/>
        </w:rPr>
      </w:pPr>
    </w:p>
    <w:p w14:paraId="28DF2EAD" w14:textId="77777777" w:rsidR="00AB5115" w:rsidRDefault="00AB5115" w:rsidP="00112A0D">
      <w:r>
        <w:rPr>
          <w:rFonts w:hint="eastAsia"/>
        </w:rPr>
        <w:t xml:space="preserve">1.     </w:t>
      </w:r>
      <w:r w:rsidR="00251CD7">
        <w:rPr>
          <w:rFonts w:hint="eastAsia"/>
        </w:rPr>
        <w:t>第</w:t>
      </w:r>
      <w:r w:rsidR="00251CD7">
        <w:rPr>
          <w:rFonts w:hint="eastAsia"/>
        </w:rPr>
        <w:t>3</w:t>
      </w:r>
      <w:r w:rsidR="00251CD7">
        <w:rPr>
          <w:rFonts w:hint="eastAsia"/>
        </w:rPr>
        <w:t>項及び第</w:t>
      </w:r>
      <w:r w:rsidR="00251CD7">
        <w:rPr>
          <w:rFonts w:hint="eastAsia"/>
        </w:rPr>
        <w:t>4</w:t>
      </w:r>
      <w:r w:rsidR="00251CD7">
        <w:rPr>
          <w:rFonts w:hint="eastAsia"/>
        </w:rPr>
        <w:t>項に従い、各締約国は、全ての技術分野において、製品又はプロセスに拘わらず、</w:t>
      </w:r>
      <w:r w:rsidR="00E551BD">
        <w:rPr>
          <w:rFonts w:hint="eastAsia"/>
        </w:rPr>
        <w:t>全ての発明に関する特許を</w:t>
      </w:r>
      <w:r w:rsidR="00571256">
        <w:rPr>
          <w:rFonts w:hint="eastAsia"/>
        </w:rPr>
        <w:t>利用</w:t>
      </w:r>
      <w:r w:rsidR="00E551BD">
        <w:rPr>
          <w:rFonts w:hint="eastAsia"/>
        </w:rPr>
        <w:t>できるように</w:t>
      </w:r>
      <w:r w:rsidR="00571256">
        <w:rPr>
          <w:rFonts w:hint="eastAsia"/>
        </w:rPr>
        <w:t>しなければならない。但し、発明は、新規性、進歩性及び産業上の利用可能性</w:t>
      </w:r>
      <w:r w:rsidR="005E6646">
        <w:rPr>
          <w:rStyle w:val="aa"/>
        </w:rPr>
        <w:footnoteReference w:id="1"/>
      </w:r>
      <w:r w:rsidR="00571256">
        <w:rPr>
          <w:rFonts w:hint="eastAsia"/>
        </w:rPr>
        <w:t>が</w:t>
      </w:r>
      <w:r w:rsidR="00A85F9D">
        <w:rPr>
          <w:rFonts w:hint="eastAsia"/>
        </w:rPr>
        <w:t>あるものとする。</w:t>
      </w:r>
    </w:p>
    <w:p w14:paraId="150E6310" w14:textId="77777777" w:rsidR="00A85F9D" w:rsidRDefault="00A85F9D" w:rsidP="00112A0D"/>
    <w:p w14:paraId="63FB29D6" w14:textId="77777777" w:rsidR="00A85F9D" w:rsidRPr="00AB5115" w:rsidRDefault="00A85F9D" w:rsidP="00112A0D">
      <w:r>
        <w:rPr>
          <w:rFonts w:hint="eastAsia"/>
        </w:rPr>
        <w:t xml:space="preserve">2.     </w:t>
      </w:r>
      <w:r>
        <w:rPr>
          <w:rFonts w:hint="eastAsia"/>
        </w:rPr>
        <w:t>第</w:t>
      </w:r>
      <w:r>
        <w:rPr>
          <w:rFonts w:hint="eastAsia"/>
        </w:rPr>
        <w:t>3</w:t>
      </w:r>
      <w:r>
        <w:rPr>
          <w:rFonts w:hint="eastAsia"/>
        </w:rPr>
        <w:t>項及び第</w:t>
      </w:r>
      <w:r>
        <w:rPr>
          <w:rFonts w:hint="eastAsia"/>
        </w:rPr>
        <w:t>4</w:t>
      </w:r>
      <w:r>
        <w:rPr>
          <w:rFonts w:hint="eastAsia"/>
        </w:rPr>
        <w:t>項に従い、第</w:t>
      </w:r>
      <w:r>
        <w:rPr>
          <w:rFonts w:hint="eastAsia"/>
        </w:rPr>
        <w:t>1</w:t>
      </w:r>
      <w:r>
        <w:rPr>
          <w:rFonts w:hint="eastAsia"/>
        </w:rPr>
        <w:t>項に合致して、各締約国は、</w:t>
      </w:r>
      <w:r w:rsidR="00330453">
        <w:rPr>
          <w:rFonts w:hint="eastAsia"/>
        </w:rPr>
        <w:t>公知製品の新規の利用、公知製品の新規の利用方法、公知製品の新規の利用プロセスのうち</w:t>
      </w:r>
      <w:r w:rsidR="00394866">
        <w:rPr>
          <w:rFonts w:hint="eastAsia"/>
        </w:rPr>
        <w:t>の</w:t>
      </w:r>
      <w:r w:rsidR="00F37445">
        <w:rPr>
          <w:rFonts w:hint="eastAsia"/>
        </w:rPr>
        <w:t>少なくとも一つ</w:t>
      </w:r>
      <w:r w:rsidR="000E0C9E">
        <w:rPr>
          <w:rFonts w:hint="eastAsia"/>
        </w:rPr>
        <w:t>を</w:t>
      </w:r>
      <w:r w:rsidR="00F37445">
        <w:rPr>
          <w:rFonts w:hint="eastAsia"/>
        </w:rPr>
        <w:t>請求する特許を利用可能にすることを確認する。</w:t>
      </w:r>
      <w:r w:rsidR="00394866" w:rsidRPr="008365C3">
        <w:rPr>
          <w:rFonts w:hint="eastAsia"/>
        </w:rPr>
        <w:t>締約国は、これらの新規</w:t>
      </w:r>
      <w:r w:rsidR="008365C3" w:rsidRPr="008365C3">
        <w:rPr>
          <w:rFonts w:hint="eastAsia"/>
        </w:rPr>
        <w:t>の</w:t>
      </w:r>
      <w:r w:rsidR="00394866" w:rsidRPr="008365C3">
        <w:rPr>
          <w:rFonts w:hint="eastAsia"/>
        </w:rPr>
        <w:t>プロセスを</w:t>
      </w:r>
      <w:r w:rsidR="0060794A" w:rsidRPr="008365C3">
        <w:rPr>
          <w:rFonts w:hint="eastAsia"/>
        </w:rPr>
        <w:t>新規</w:t>
      </w:r>
      <w:r w:rsidR="008365C3" w:rsidRPr="008365C3">
        <w:rPr>
          <w:rFonts w:hint="eastAsia"/>
        </w:rPr>
        <w:t>の</w:t>
      </w:r>
      <w:r w:rsidR="0060794A" w:rsidRPr="008365C3">
        <w:rPr>
          <w:rFonts w:hint="eastAsia"/>
        </w:rPr>
        <w:t>プロセスとして当該製品の利用を請求しないものに制限することができる</w:t>
      </w:r>
      <w:r w:rsidR="0060794A">
        <w:rPr>
          <w:rFonts w:hint="eastAsia"/>
        </w:rPr>
        <w:t>。</w:t>
      </w:r>
    </w:p>
    <w:p w14:paraId="3580EC75" w14:textId="77777777" w:rsidR="0060794A" w:rsidRDefault="0060794A" w:rsidP="00112A0D">
      <w:pPr>
        <w:rPr>
          <w:b/>
        </w:rPr>
      </w:pPr>
    </w:p>
    <w:p w14:paraId="2DFC05B1" w14:textId="2ADA9EDE" w:rsidR="0029337B" w:rsidRDefault="0029337B" w:rsidP="00112A0D">
      <w:r w:rsidRPr="0029337B">
        <w:rPr>
          <w:rFonts w:hint="eastAsia"/>
        </w:rPr>
        <w:t xml:space="preserve">3.     </w:t>
      </w:r>
      <w:r w:rsidRPr="0029337B">
        <w:rPr>
          <w:rFonts w:hint="eastAsia"/>
        </w:rPr>
        <w:t>締約国は、</w:t>
      </w:r>
      <w:r w:rsidR="00B15351">
        <w:rPr>
          <w:rFonts w:hint="eastAsia"/>
        </w:rPr>
        <w:t>人</w:t>
      </w:r>
      <w:r w:rsidR="007A0FD2">
        <w:rPr>
          <w:rFonts w:hint="eastAsia"/>
        </w:rPr>
        <w:t>間、動物又は植物の生命又は健康</w:t>
      </w:r>
      <w:r w:rsidR="00334548">
        <w:rPr>
          <w:rFonts w:hint="eastAsia"/>
        </w:rPr>
        <w:t>を守り、又は、自然又は環境に対する重大な影響を避ける等、</w:t>
      </w:r>
      <w:r w:rsidR="00E62438">
        <w:rPr>
          <w:rFonts w:hint="eastAsia"/>
        </w:rPr>
        <w:t>公序良俗を守るために必要な</w:t>
      </w:r>
      <w:r w:rsidR="00E56FFF">
        <w:rPr>
          <w:rFonts w:hint="eastAsia"/>
        </w:rPr>
        <w:t>商業上の利用の自国内での予防を</w:t>
      </w:r>
      <w:r w:rsidR="00EF24E5">
        <w:rPr>
          <w:rFonts w:hint="eastAsia"/>
        </w:rPr>
        <w:t>、</w:t>
      </w:r>
      <w:r w:rsidR="002C1286">
        <w:rPr>
          <w:rFonts w:hint="eastAsia"/>
        </w:rPr>
        <w:t>特許を受けることができ</w:t>
      </w:r>
      <w:r w:rsidR="002C1286" w:rsidRPr="002C1286">
        <w:rPr>
          <w:rFonts w:hint="eastAsia"/>
        </w:rPr>
        <w:t>る</w:t>
      </w:r>
      <w:r w:rsidR="00E56FFF" w:rsidRPr="002C1286">
        <w:rPr>
          <w:rFonts w:hint="eastAsia"/>
        </w:rPr>
        <w:t>発明か</w:t>
      </w:r>
      <w:r w:rsidR="00E56FFF">
        <w:rPr>
          <w:rFonts w:hint="eastAsia"/>
        </w:rPr>
        <w:t>ら</w:t>
      </w:r>
      <w:r w:rsidR="00EC1649">
        <w:rPr>
          <w:rFonts w:hint="eastAsia"/>
        </w:rPr>
        <w:t>除外</w:t>
      </w:r>
      <w:r w:rsidR="00E56FFF">
        <w:rPr>
          <w:rFonts w:hint="eastAsia"/>
        </w:rPr>
        <w:t>することができる。</w:t>
      </w:r>
      <w:r w:rsidR="00EC1649">
        <w:rPr>
          <w:rFonts w:hint="eastAsia"/>
        </w:rPr>
        <w:t>但し、当該除外は、当該利用が法律上禁止されているから</w:t>
      </w:r>
      <w:r w:rsidR="002E55F1">
        <w:rPr>
          <w:rFonts w:hint="eastAsia"/>
        </w:rPr>
        <w:t>なされるに過ぎない。締約国はまた、次のものを</w:t>
      </w:r>
      <w:r w:rsidR="00112A0D">
        <w:rPr>
          <w:rFonts w:hint="eastAsia"/>
        </w:rPr>
        <w:t>、</w:t>
      </w:r>
      <w:r w:rsidR="002C1286">
        <w:rPr>
          <w:rFonts w:hint="eastAsia"/>
        </w:rPr>
        <w:t>特許を受けることができる発明</w:t>
      </w:r>
      <w:r w:rsidR="002E55F1">
        <w:rPr>
          <w:rFonts w:hint="eastAsia"/>
        </w:rPr>
        <w:t>から除外することができる。</w:t>
      </w:r>
    </w:p>
    <w:p w14:paraId="38733231" w14:textId="77777777" w:rsidR="00EF24E5" w:rsidRDefault="00EF24E5" w:rsidP="00112A0D"/>
    <w:p w14:paraId="365941F1" w14:textId="0E6B43C2" w:rsidR="00EF24E5" w:rsidRDefault="00EF24E5" w:rsidP="00112A0D">
      <w:pPr>
        <w:ind w:leftChars="337" w:left="708"/>
      </w:pPr>
      <w:r>
        <w:rPr>
          <w:rFonts w:hint="eastAsia"/>
        </w:rPr>
        <w:t xml:space="preserve">(a)     </w:t>
      </w:r>
      <w:r w:rsidR="00B15351">
        <w:rPr>
          <w:rFonts w:hint="eastAsia"/>
        </w:rPr>
        <w:t>人</w:t>
      </w:r>
      <w:r w:rsidR="00747E14">
        <w:rPr>
          <w:rFonts w:hint="eastAsia"/>
        </w:rPr>
        <w:t>間又は動物の治療に関する診断方法、療法、及び手術法</w:t>
      </w:r>
    </w:p>
    <w:p w14:paraId="1943809D" w14:textId="77777777" w:rsidR="00747E14" w:rsidRDefault="00747E14" w:rsidP="00112A0D">
      <w:pPr>
        <w:ind w:leftChars="337" w:left="708"/>
      </w:pPr>
    </w:p>
    <w:p w14:paraId="4DA9B424" w14:textId="77777777" w:rsidR="00747E14" w:rsidRDefault="00747E14" w:rsidP="00112A0D">
      <w:pPr>
        <w:ind w:leftChars="337" w:left="1558" w:hangingChars="405" w:hanging="850"/>
      </w:pPr>
      <w:r>
        <w:rPr>
          <w:rFonts w:hint="eastAsia"/>
        </w:rPr>
        <w:t xml:space="preserve">(b)     </w:t>
      </w:r>
      <w:r w:rsidR="00616737">
        <w:rPr>
          <w:rFonts w:hint="eastAsia"/>
        </w:rPr>
        <w:t>微生物以外の動物及び</w:t>
      </w:r>
      <w:r w:rsidR="008F7A15">
        <w:rPr>
          <w:rFonts w:hint="eastAsia"/>
        </w:rPr>
        <w:t>非</w:t>
      </w:r>
      <w:r w:rsidR="00616737">
        <w:rPr>
          <w:rFonts w:hint="eastAsia"/>
        </w:rPr>
        <w:t>生物学</w:t>
      </w:r>
      <w:r w:rsidR="008F7A15">
        <w:rPr>
          <w:rFonts w:hint="eastAsia"/>
        </w:rPr>
        <w:t>的で微生物学的方法以外の動植物の生産に関する</w:t>
      </w:r>
      <w:r w:rsidR="007C00F2">
        <w:rPr>
          <w:rFonts w:hint="eastAsia"/>
        </w:rPr>
        <w:t>本質的な生物学上のプロセス。</w:t>
      </w:r>
    </w:p>
    <w:p w14:paraId="0270B042" w14:textId="77777777" w:rsidR="007C00F2" w:rsidRDefault="007C00F2" w:rsidP="00112A0D"/>
    <w:p w14:paraId="38268C06" w14:textId="77777777" w:rsidR="007C00F2" w:rsidRDefault="00931EDC" w:rsidP="00112A0D">
      <w:r>
        <w:rPr>
          <w:rFonts w:hint="eastAsia"/>
        </w:rPr>
        <w:t xml:space="preserve">4.     </w:t>
      </w:r>
      <w:r>
        <w:rPr>
          <w:rFonts w:hint="eastAsia"/>
        </w:rPr>
        <w:t>締約国はまた、微生物以外の植物を特許性から除外することができる。但し、第１項に</w:t>
      </w:r>
      <w:r w:rsidR="005034E2">
        <w:rPr>
          <w:rFonts w:hint="eastAsia"/>
        </w:rPr>
        <w:t>矛盾せず</w:t>
      </w:r>
      <w:r>
        <w:rPr>
          <w:rFonts w:hint="eastAsia"/>
        </w:rPr>
        <w:t>、</w:t>
      </w:r>
      <w:r w:rsidR="005034E2">
        <w:rPr>
          <w:rFonts w:hint="eastAsia"/>
        </w:rPr>
        <w:t>第</w:t>
      </w:r>
      <w:r w:rsidR="005034E2">
        <w:rPr>
          <w:rFonts w:hint="eastAsia"/>
        </w:rPr>
        <w:t>3</w:t>
      </w:r>
      <w:r w:rsidR="005034E2">
        <w:rPr>
          <w:rFonts w:hint="eastAsia"/>
        </w:rPr>
        <w:t>項に従って、各締約国は、</w:t>
      </w:r>
      <w:r w:rsidR="002C1286">
        <w:rPr>
          <w:rFonts w:hint="eastAsia"/>
        </w:rPr>
        <w:t>少なくとも</w:t>
      </w:r>
      <w:r w:rsidR="005034E2">
        <w:rPr>
          <w:rFonts w:hint="eastAsia"/>
        </w:rPr>
        <w:t>植物</w:t>
      </w:r>
      <w:r w:rsidR="002C1286">
        <w:rPr>
          <w:rFonts w:hint="eastAsia"/>
        </w:rPr>
        <w:t>に由来する</w:t>
      </w:r>
      <w:r w:rsidR="005034E2">
        <w:rPr>
          <w:rFonts w:hint="eastAsia"/>
        </w:rPr>
        <w:t>発明に関し</w:t>
      </w:r>
      <w:r w:rsidR="002C1286">
        <w:rPr>
          <w:rFonts w:hint="eastAsia"/>
        </w:rPr>
        <w:t>ては</w:t>
      </w:r>
      <w:r w:rsidR="005034E2">
        <w:rPr>
          <w:rFonts w:hint="eastAsia"/>
        </w:rPr>
        <w:t>、特許が利用可能であることを確認する。</w:t>
      </w:r>
    </w:p>
    <w:p w14:paraId="39D696ED" w14:textId="77777777" w:rsidR="005034E2" w:rsidRDefault="005034E2" w:rsidP="00112A0D"/>
    <w:p w14:paraId="7868DD48" w14:textId="77777777" w:rsidR="00947F50" w:rsidRDefault="00947F50" w:rsidP="00112A0D">
      <w:pPr>
        <w:rPr>
          <w:b/>
        </w:rPr>
      </w:pPr>
      <w:r>
        <w:rPr>
          <w:rFonts w:hint="eastAsia"/>
          <w:b/>
        </w:rPr>
        <w:t>第</w:t>
      </w:r>
      <w:r>
        <w:rPr>
          <w:rFonts w:hint="eastAsia"/>
          <w:b/>
        </w:rPr>
        <w:t>18.38</w:t>
      </w:r>
      <w:r>
        <w:rPr>
          <w:rFonts w:hint="eastAsia"/>
          <w:b/>
        </w:rPr>
        <w:t xml:space="preserve">条　</w:t>
      </w:r>
      <w:r w:rsidRPr="002C1286">
        <w:rPr>
          <w:rFonts w:hint="eastAsia"/>
          <w:b/>
        </w:rPr>
        <w:t>猶予期間</w:t>
      </w:r>
    </w:p>
    <w:p w14:paraId="69FE1587" w14:textId="77777777" w:rsidR="00DF6D6D" w:rsidRDefault="00DF6D6D" w:rsidP="00112A0D">
      <w:pPr>
        <w:rPr>
          <w:b/>
        </w:rPr>
      </w:pPr>
    </w:p>
    <w:p w14:paraId="538CDE58" w14:textId="77777777" w:rsidR="00DF6D6D" w:rsidRDefault="00DF6D6D" w:rsidP="00112A0D">
      <w:r>
        <w:rPr>
          <w:rFonts w:hint="eastAsia"/>
        </w:rPr>
        <w:t xml:space="preserve">       </w:t>
      </w:r>
      <w:r w:rsidRPr="008365C3">
        <w:rPr>
          <w:rFonts w:hint="eastAsia"/>
        </w:rPr>
        <w:t>各締約国は、</w:t>
      </w:r>
      <w:r w:rsidR="000F3534" w:rsidRPr="008365C3">
        <w:rPr>
          <w:rFonts w:hint="eastAsia"/>
        </w:rPr>
        <w:t>公</w:t>
      </w:r>
      <w:r w:rsidR="00CE2419" w:rsidRPr="008365C3">
        <w:rPr>
          <w:rFonts w:hint="eastAsia"/>
        </w:rPr>
        <w:t>の開示</w:t>
      </w:r>
      <w:r w:rsidR="000F3534" w:rsidRPr="008365C3">
        <w:rPr>
          <w:rFonts w:hint="eastAsia"/>
        </w:rPr>
        <w:t>が次のよう</w:t>
      </w:r>
      <w:r w:rsidR="002C1286" w:rsidRPr="008365C3">
        <w:rPr>
          <w:rFonts w:hint="eastAsia"/>
        </w:rPr>
        <w:t>になされた</w:t>
      </w:r>
      <w:r w:rsidR="000F3534" w:rsidRPr="008365C3">
        <w:rPr>
          <w:rFonts w:hint="eastAsia"/>
        </w:rPr>
        <w:t>場合、</w:t>
      </w:r>
      <w:r w:rsidR="003B231A" w:rsidRPr="008365C3">
        <w:rPr>
          <w:rFonts w:hint="eastAsia"/>
        </w:rPr>
        <w:t>発明が</w:t>
      </w:r>
      <w:r w:rsidR="002C1286" w:rsidRPr="008365C3">
        <w:rPr>
          <w:rFonts w:hint="eastAsia"/>
        </w:rPr>
        <w:t>、</w:t>
      </w:r>
      <w:r w:rsidR="003B231A" w:rsidRPr="008365C3">
        <w:rPr>
          <w:rFonts w:hint="eastAsia"/>
        </w:rPr>
        <w:t>新規性があるか、進歩</w:t>
      </w:r>
      <w:r w:rsidR="003B231A" w:rsidRPr="008365C3">
        <w:rPr>
          <w:rFonts w:hint="eastAsia"/>
        </w:rPr>
        <w:lastRenderedPageBreak/>
        <w:t>性があるかを決めるために用いられる</w:t>
      </w:r>
      <w:r w:rsidR="00CE2419" w:rsidRPr="008365C3">
        <w:rPr>
          <w:rFonts w:hint="eastAsia"/>
        </w:rPr>
        <w:t>公の開示に含まれる情報を</w:t>
      </w:r>
      <w:r w:rsidR="002C1286" w:rsidRPr="008365C3">
        <w:rPr>
          <w:rFonts w:hint="eastAsia"/>
        </w:rPr>
        <w:t>少なくとも</w:t>
      </w:r>
      <w:r w:rsidR="00CE2419" w:rsidRPr="008365C3">
        <w:rPr>
          <w:rFonts w:hint="eastAsia"/>
        </w:rPr>
        <w:t>無視しなければならない。</w:t>
      </w:r>
      <w:r w:rsidR="005E6646">
        <w:rPr>
          <w:rStyle w:val="aa"/>
        </w:rPr>
        <w:footnoteReference w:id="2"/>
      </w:r>
      <w:r w:rsidR="005E6646">
        <w:rPr>
          <w:rFonts w:hint="eastAsia"/>
        </w:rPr>
        <w:t xml:space="preserve">　</w:t>
      </w:r>
      <w:r w:rsidR="005E6646">
        <w:rPr>
          <w:rStyle w:val="aa"/>
        </w:rPr>
        <w:footnoteReference w:id="3"/>
      </w:r>
    </w:p>
    <w:p w14:paraId="5E3AAAF0" w14:textId="77777777" w:rsidR="00A6372C" w:rsidRDefault="00A6372C" w:rsidP="00112A0D"/>
    <w:p w14:paraId="0BBC9248" w14:textId="77777777" w:rsidR="00A6372C" w:rsidRDefault="00A6372C" w:rsidP="00112A0D">
      <w:pPr>
        <w:ind w:leftChars="337" w:left="708"/>
      </w:pPr>
      <w:r>
        <w:rPr>
          <w:rFonts w:hint="eastAsia"/>
        </w:rPr>
        <w:t xml:space="preserve">(a)     </w:t>
      </w:r>
      <w:r w:rsidR="00080EAA">
        <w:rPr>
          <w:rFonts w:hint="eastAsia"/>
        </w:rPr>
        <w:t>当該公表が特許出願</w:t>
      </w:r>
      <w:r w:rsidR="002C1286">
        <w:rPr>
          <w:rFonts w:hint="eastAsia"/>
        </w:rPr>
        <w:t>者</w:t>
      </w:r>
      <w:r w:rsidR="00080EAA">
        <w:rPr>
          <w:rFonts w:hint="eastAsia"/>
        </w:rPr>
        <w:t>により、又は、特許出願</w:t>
      </w:r>
      <w:r w:rsidR="002C1286">
        <w:rPr>
          <w:rFonts w:hint="eastAsia"/>
        </w:rPr>
        <w:t>者</w:t>
      </w:r>
      <w:r w:rsidR="00080EAA">
        <w:rPr>
          <w:rFonts w:hint="eastAsia"/>
        </w:rPr>
        <w:t>から直接的又は間接的に</w:t>
      </w:r>
      <w:r w:rsidR="0050190E">
        <w:rPr>
          <w:rFonts w:hint="eastAsia"/>
        </w:rPr>
        <w:t>当該情報を取得した</w:t>
      </w:r>
      <w:r w:rsidR="002C1286">
        <w:rPr>
          <w:rFonts w:hint="eastAsia"/>
        </w:rPr>
        <w:t>者</w:t>
      </w:r>
      <w:r w:rsidR="0050190E">
        <w:rPr>
          <w:rFonts w:hint="eastAsia"/>
        </w:rPr>
        <w:t>により</w:t>
      </w:r>
      <w:r w:rsidR="00FA71AD">
        <w:rPr>
          <w:rFonts w:hint="eastAsia"/>
        </w:rPr>
        <w:t>行われた</w:t>
      </w:r>
      <w:r w:rsidR="0050190E">
        <w:rPr>
          <w:rFonts w:hint="eastAsia"/>
        </w:rPr>
        <w:t>場合、</w:t>
      </w:r>
    </w:p>
    <w:p w14:paraId="5C448682" w14:textId="77777777" w:rsidR="0050190E" w:rsidRDefault="0050190E" w:rsidP="00112A0D">
      <w:pPr>
        <w:ind w:leftChars="337" w:left="708"/>
      </w:pPr>
    </w:p>
    <w:p w14:paraId="4BE90576" w14:textId="77777777" w:rsidR="0050190E" w:rsidRDefault="0050190E" w:rsidP="00112A0D">
      <w:pPr>
        <w:ind w:leftChars="337" w:left="708"/>
      </w:pPr>
      <w:r>
        <w:rPr>
          <w:rFonts w:hint="eastAsia"/>
        </w:rPr>
        <w:t xml:space="preserve">(b)     </w:t>
      </w:r>
      <w:r>
        <w:rPr>
          <w:rFonts w:hint="eastAsia"/>
        </w:rPr>
        <w:t>当該公表が、締約国の領域内で出願日の</w:t>
      </w:r>
      <w:r>
        <w:rPr>
          <w:rFonts w:hint="eastAsia"/>
        </w:rPr>
        <w:t>12</w:t>
      </w:r>
      <w:r>
        <w:rPr>
          <w:rFonts w:hint="eastAsia"/>
        </w:rPr>
        <w:t>ヵ月前以内に</w:t>
      </w:r>
      <w:r w:rsidR="00FA71AD">
        <w:rPr>
          <w:rFonts w:hint="eastAsia"/>
        </w:rPr>
        <w:t>行われた場合。</w:t>
      </w:r>
    </w:p>
    <w:p w14:paraId="458370B6" w14:textId="77777777" w:rsidR="00FA71AD" w:rsidRPr="00DF6D6D" w:rsidRDefault="00FA71AD" w:rsidP="00112A0D">
      <w:pPr>
        <w:ind w:leftChars="337" w:left="708"/>
      </w:pPr>
    </w:p>
    <w:p w14:paraId="5E87BEB9" w14:textId="77777777" w:rsidR="00947F50" w:rsidRDefault="00947F50" w:rsidP="00112A0D">
      <w:pPr>
        <w:rPr>
          <w:b/>
        </w:rPr>
      </w:pPr>
      <w:r>
        <w:rPr>
          <w:rFonts w:hint="eastAsia"/>
          <w:b/>
        </w:rPr>
        <w:t>第</w:t>
      </w:r>
      <w:r w:rsidR="00F1764F">
        <w:rPr>
          <w:rFonts w:hint="eastAsia"/>
          <w:b/>
        </w:rPr>
        <w:t>18.39</w:t>
      </w:r>
      <w:r w:rsidR="00F1764F">
        <w:rPr>
          <w:rFonts w:hint="eastAsia"/>
          <w:b/>
        </w:rPr>
        <w:t>条　特許の取消</w:t>
      </w:r>
    </w:p>
    <w:p w14:paraId="18AC996C" w14:textId="77777777" w:rsidR="000F4A17" w:rsidRDefault="000F4A17" w:rsidP="00112A0D">
      <w:pPr>
        <w:rPr>
          <w:b/>
        </w:rPr>
      </w:pPr>
    </w:p>
    <w:p w14:paraId="30869263" w14:textId="77777777" w:rsidR="000F4A17" w:rsidRDefault="000F4A17" w:rsidP="00112A0D">
      <w:r>
        <w:rPr>
          <w:rFonts w:hint="eastAsia"/>
        </w:rPr>
        <w:t xml:space="preserve">1.     </w:t>
      </w:r>
      <w:r>
        <w:rPr>
          <w:rFonts w:hint="eastAsia"/>
        </w:rPr>
        <w:t>各締約国は、</w:t>
      </w:r>
      <w:r w:rsidR="00861D6D">
        <w:rPr>
          <w:rFonts w:hint="eastAsia"/>
        </w:rPr>
        <w:t>特許を</w:t>
      </w:r>
      <w:r w:rsidR="002C1286">
        <w:rPr>
          <w:rFonts w:hint="eastAsia"/>
        </w:rPr>
        <w:t>付与</w:t>
      </w:r>
      <w:r w:rsidR="00861D6D">
        <w:rPr>
          <w:rFonts w:hint="eastAsia"/>
        </w:rPr>
        <w:t>することの</w:t>
      </w:r>
      <w:r w:rsidR="002C1286">
        <w:rPr>
          <w:rFonts w:hint="eastAsia"/>
        </w:rPr>
        <w:t>正当な拒絶理由</w:t>
      </w:r>
      <w:r w:rsidR="00861D6D">
        <w:rPr>
          <w:rFonts w:hint="eastAsia"/>
        </w:rPr>
        <w:t>がある場合にのみ特許を取消し、無効にすることができる</w:t>
      </w:r>
      <w:r w:rsidR="00B04275">
        <w:rPr>
          <w:rFonts w:hint="eastAsia"/>
        </w:rPr>
        <w:t>ことを定めなければならない。締約国はまた、詐欺、不実表示</w:t>
      </w:r>
      <w:r w:rsidR="00A23581">
        <w:rPr>
          <w:rFonts w:hint="eastAsia"/>
        </w:rPr>
        <w:t>又は不正な行為が特許を取消し又は無効にし、若しくは特許を実施不能にする</w:t>
      </w:r>
      <w:r w:rsidR="00C74A45">
        <w:rPr>
          <w:rFonts w:hint="eastAsia"/>
        </w:rPr>
        <w:t>基礎となりうることを定めることもできる。</w:t>
      </w:r>
    </w:p>
    <w:p w14:paraId="35AAA4C0" w14:textId="77777777" w:rsidR="00C74A45" w:rsidRDefault="00C74A45" w:rsidP="00112A0D"/>
    <w:p w14:paraId="6E7F29D9" w14:textId="77777777" w:rsidR="00C74A45" w:rsidRDefault="00C74A45" w:rsidP="00112A0D">
      <w:r>
        <w:rPr>
          <w:rFonts w:hint="eastAsia"/>
        </w:rPr>
        <w:t xml:space="preserve">2.     </w:t>
      </w:r>
      <w:r w:rsidRPr="008365C3">
        <w:rPr>
          <w:rFonts w:hint="eastAsia"/>
        </w:rPr>
        <w:t>第</w:t>
      </w:r>
      <w:r w:rsidRPr="008365C3">
        <w:rPr>
          <w:rFonts w:hint="eastAsia"/>
        </w:rPr>
        <w:t>1</w:t>
      </w:r>
      <w:r w:rsidRPr="008365C3">
        <w:rPr>
          <w:rFonts w:hint="eastAsia"/>
        </w:rPr>
        <w:t>項にかかわらず、締約国は、</w:t>
      </w:r>
      <w:r w:rsidR="00FF2CE7" w:rsidRPr="008365C3">
        <w:rPr>
          <w:rFonts w:hint="eastAsia"/>
        </w:rPr>
        <w:t>特許がパリ条約の第</w:t>
      </w:r>
      <w:r w:rsidR="00FF2CE7" w:rsidRPr="008365C3">
        <w:rPr>
          <w:rFonts w:hint="eastAsia"/>
        </w:rPr>
        <w:t>5A</w:t>
      </w:r>
      <w:r w:rsidR="00FF2CE7" w:rsidRPr="008365C3">
        <w:rPr>
          <w:rFonts w:hint="eastAsia"/>
        </w:rPr>
        <w:t>条及び</w:t>
      </w:r>
      <w:r w:rsidR="00FF2CE7" w:rsidRPr="008365C3">
        <w:rPr>
          <w:rFonts w:hint="eastAsia"/>
        </w:rPr>
        <w:t>TRIPS</w:t>
      </w:r>
      <w:r w:rsidR="00FF2CE7" w:rsidRPr="008365C3">
        <w:rPr>
          <w:rFonts w:hint="eastAsia"/>
        </w:rPr>
        <w:t>協定に</w:t>
      </w:r>
      <w:r w:rsidR="008365C3" w:rsidRPr="008365C3">
        <w:rPr>
          <w:rFonts w:hint="eastAsia"/>
        </w:rPr>
        <w:t>矛盾しない</w:t>
      </w:r>
      <w:r w:rsidR="00E7087E" w:rsidRPr="008365C3">
        <w:rPr>
          <w:rFonts w:hint="eastAsia"/>
        </w:rPr>
        <w:t>よう</w:t>
      </w:r>
      <w:r w:rsidR="00FF2CE7" w:rsidRPr="008365C3">
        <w:rPr>
          <w:rFonts w:hint="eastAsia"/>
        </w:rPr>
        <w:t>になされた場合、</w:t>
      </w:r>
      <w:r w:rsidR="007B6819" w:rsidRPr="008365C3">
        <w:rPr>
          <w:rFonts w:hint="eastAsia"/>
        </w:rPr>
        <w:t>取り消すことができることを定めることができる</w:t>
      </w:r>
      <w:r w:rsidR="007B6819">
        <w:rPr>
          <w:rFonts w:hint="eastAsia"/>
        </w:rPr>
        <w:t>。</w:t>
      </w:r>
    </w:p>
    <w:p w14:paraId="1F754A58" w14:textId="77777777" w:rsidR="00E7087E" w:rsidRPr="00E7087E" w:rsidRDefault="00E7087E" w:rsidP="00112A0D"/>
    <w:p w14:paraId="71B1C3A5" w14:textId="77777777" w:rsidR="00F1764F" w:rsidRDefault="00F1764F" w:rsidP="00112A0D">
      <w:pPr>
        <w:rPr>
          <w:b/>
        </w:rPr>
      </w:pPr>
      <w:r>
        <w:rPr>
          <w:rFonts w:hint="eastAsia"/>
          <w:b/>
        </w:rPr>
        <w:t>第</w:t>
      </w:r>
      <w:r>
        <w:rPr>
          <w:rFonts w:hint="eastAsia"/>
          <w:b/>
        </w:rPr>
        <w:t xml:space="preserve">18.40 </w:t>
      </w:r>
      <w:r>
        <w:rPr>
          <w:rFonts w:hint="eastAsia"/>
          <w:b/>
        </w:rPr>
        <w:t xml:space="preserve">条　</w:t>
      </w:r>
      <w:r w:rsidR="009B72E3">
        <w:rPr>
          <w:rFonts w:hint="eastAsia"/>
          <w:b/>
        </w:rPr>
        <w:t>例外</w:t>
      </w:r>
    </w:p>
    <w:p w14:paraId="4BAB7B30" w14:textId="77777777" w:rsidR="00E7087E" w:rsidRDefault="00E7087E" w:rsidP="00112A0D">
      <w:pPr>
        <w:rPr>
          <w:b/>
        </w:rPr>
      </w:pPr>
    </w:p>
    <w:p w14:paraId="0CA1D029" w14:textId="77777777" w:rsidR="00E7087E" w:rsidRDefault="00E7087E" w:rsidP="00112A0D">
      <w:r>
        <w:rPr>
          <w:rFonts w:hint="eastAsia"/>
          <w:b/>
        </w:rPr>
        <w:t xml:space="preserve">       </w:t>
      </w:r>
      <w:r w:rsidR="00FD79E5">
        <w:rPr>
          <w:rFonts w:hint="eastAsia"/>
        </w:rPr>
        <w:t>締約国は、</w:t>
      </w:r>
      <w:r w:rsidR="00C63775">
        <w:rPr>
          <w:rFonts w:hint="eastAsia"/>
        </w:rPr>
        <w:t>特許により与えられた排他的権利に対して制限された例外を定めることができる。</w:t>
      </w:r>
      <w:r w:rsidR="00A928B4">
        <w:rPr>
          <w:rFonts w:hint="eastAsia"/>
        </w:rPr>
        <w:t>但し、当該例外は、特許の通常の利用</w:t>
      </w:r>
      <w:r w:rsidR="006859D9">
        <w:rPr>
          <w:rFonts w:hint="eastAsia"/>
        </w:rPr>
        <w:t>に</w:t>
      </w:r>
      <w:r w:rsidR="002C1286">
        <w:rPr>
          <w:rFonts w:hint="eastAsia"/>
        </w:rPr>
        <w:t>不合理に</w:t>
      </w:r>
      <w:r w:rsidR="006859D9">
        <w:rPr>
          <w:rFonts w:hint="eastAsia"/>
        </w:rPr>
        <w:t>抵触せず、特許権者の適法な利益に不合理に影響を及ぼさず、</w:t>
      </w:r>
      <w:r w:rsidR="00C62A2B">
        <w:rPr>
          <w:rFonts w:hint="eastAsia"/>
        </w:rPr>
        <w:t>第三者の適法な利益を考慮するものとする。</w:t>
      </w:r>
    </w:p>
    <w:p w14:paraId="36BB61B4" w14:textId="77777777" w:rsidR="00C62A2B" w:rsidRPr="00FD79E5" w:rsidRDefault="00C62A2B" w:rsidP="00112A0D"/>
    <w:p w14:paraId="4DA001B1" w14:textId="77777777" w:rsidR="009B72E3" w:rsidRDefault="009B72E3" w:rsidP="00112A0D">
      <w:pPr>
        <w:rPr>
          <w:b/>
        </w:rPr>
      </w:pPr>
      <w:r>
        <w:rPr>
          <w:rFonts w:hint="eastAsia"/>
          <w:b/>
        </w:rPr>
        <w:t>第</w:t>
      </w:r>
      <w:r>
        <w:rPr>
          <w:rFonts w:hint="eastAsia"/>
          <w:b/>
        </w:rPr>
        <w:t>18.41</w:t>
      </w:r>
      <w:r>
        <w:rPr>
          <w:rFonts w:hint="eastAsia"/>
          <w:b/>
        </w:rPr>
        <w:t>条　権利者の</w:t>
      </w:r>
      <w:r w:rsidR="002C1286">
        <w:rPr>
          <w:rFonts w:hint="eastAsia"/>
          <w:b/>
        </w:rPr>
        <w:t>承認のない</w:t>
      </w:r>
      <w:r>
        <w:rPr>
          <w:rFonts w:hint="eastAsia"/>
          <w:b/>
        </w:rPr>
        <w:t>その他の使用</w:t>
      </w:r>
    </w:p>
    <w:p w14:paraId="0E6DD233" w14:textId="77777777" w:rsidR="004964AE" w:rsidRDefault="004964AE" w:rsidP="00112A0D"/>
    <w:p w14:paraId="26259B69" w14:textId="77777777" w:rsidR="00F6499A" w:rsidRDefault="00D25E5B" w:rsidP="00112A0D">
      <w:r>
        <w:rPr>
          <w:rFonts w:hint="eastAsia"/>
        </w:rPr>
        <w:t xml:space="preserve">       </w:t>
      </w:r>
      <w:r>
        <w:rPr>
          <w:rFonts w:hint="eastAsia"/>
        </w:rPr>
        <w:t>締約国は、本章のいずれの条項も、</w:t>
      </w:r>
      <w:r w:rsidR="00C64981">
        <w:rPr>
          <w:rFonts w:hint="eastAsia"/>
        </w:rPr>
        <w:t>TRIPS</w:t>
      </w:r>
      <w:r w:rsidR="00C64981">
        <w:rPr>
          <w:rFonts w:hint="eastAsia"/>
        </w:rPr>
        <w:t>協定の第</w:t>
      </w:r>
      <w:r w:rsidR="00C64981">
        <w:rPr>
          <w:rFonts w:hint="eastAsia"/>
        </w:rPr>
        <w:t>31</w:t>
      </w:r>
      <w:r w:rsidR="00C64981">
        <w:rPr>
          <w:rFonts w:hint="eastAsia"/>
        </w:rPr>
        <w:t>条、すべての放棄、又は締約国が受諾した本条の</w:t>
      </w:r>
      <w:r w:rsidR="00F6499A">
        <w:rPr>
          <w:rFonts w:hint="eastAsia"/>
        </w:rPr>
        <w:t>いかなる改定に基づく締約国の権利・義務を制限しないことを理解している。</w:t>
      </w:r>
    </w:p>
    <w:p w14:paraId="0BC7DD6B" w14:textId="77777777" w:rsidR="009B72E3" w:rsidRDefault="009B72E3" w:rsidP="00112A0D">
      <w:pPr>
        <w:rPr>
          <w:b/>
        </w:rPr>
      </w:pPr>
      <w:r>
        <w:rPr>
          <w:rFonts w:hint="eastAsia"/>
          <w:b/>
        </w:rPr>
        <w:t>第</w:t>
      </w:r>
      <w:r>
        <w:rPr>
          <w:rFonts w:hint="eastAsia"/>
          <w:b/>
        </w:rPr>
        <w:t>18.42</w:t>
      </w:r>
      <w:r>
        <w:rPr>
          <w:rFonts w:hint="eastAsia"/>
          <w:b/>
        </w:rPr>
        <w:t>条　特許出願</w:t>
      </w:r>
    </w:p>
    <w:p w14:paraId="0D861649" w14:textId="77777777" w:rsidR="001C6647" w:rsidRDefault="001C6647" w:rsidP="00112A0D">
      <w:pPr>
        <w:rPr>
          <w:b/>
        </w:rPr>
      </w:pPr>
    </w:p>
    <w:p w14:paraId="6C119BC6" w14:textId="77777777" w:rsidR="001C6647" w:rsidRDefault="00763EEB" w:rsidP="00112A0D">
      <w:r>
        <w:rPr>
          <w:rFonts w:hint="eastAsia"/>
        </w:rPr>
        <w:lastRenderedPageBreak/>
        <w:t xml:space="preserve">       </w:t>
      </w:r>
      <w:r>
        <w:rPr>
          <w:rFonts w:hint="eastAsia"/>
        </w:rPr>
        <w:t>各締約国は、</w:t>
      </w:r>
      <w:r w:rsidR="008F7C56">
        <w:rPr>
          <w:rFonts w:hint="eastAsia"/>
        </w:rPr>
        <w:t>一つの発明が、個別に複数の発明者によってなされ、発明性を主張する</w:t>
      </w:r>
      <w:r w:rsidR="001633D9">
        <w:rPr>
          <w:rFonts w:hint="eastAsia"/>
        </w:rPr>
        <w:t>別々の出願が締約国の関連当局になされた場合、締約国は、</w:t>
      </w:r>
      <w:r w:rsidR="007872B0">
        <w:rPr>
          <w:rFonts w:hint="eastAsia"/>
        </w:rPr>
        <w:t>当該出願が</w:t>
      </w:r>
      <w:r w:rsidR="00F62106">
        <w:rPr>
          <w:rFonts w:hint="eastAsia"/>
        </w:rPr>
        <w:t>公開前</w:t>
      </w:r>
      <w:r w:rsidR="00DE3A08">
        <w:rPr>
          <w:rStyle w:val="aa"/>
        </w:rPr>
        <w:footnoteReference w:id="4"/>
      </w:r>
      <w:r w:rsidR="00F62106">
        <w:rPr>
          <w:rFonts w:hint="eastAsia"/>
        </w:rPr>
        <w:t>に取り下げられ、放棄され、又は拒絶されていない限り、</w:t>
      </w:r>
      <w:r w:rsidR="001633D9">
        <w:rPr>
          <w:rFonts w:hint="eastAsia"/>
        </w:rPr>
        <w:t>特許性があり、</w:t>
      </w:r>
      <w:r w:rsidR="007872B0">
        <w:rPr>
          <w:rFonts w:hint="eastAsia"/>
        </w:rPr>
        <w:t>最も早い出願日、又は場合によっては優先日</w:t>
      </w:r>
      <w:r w:rsidR="00072CB5">
        <w:rPr>
          <w:rStyle w:val="aa"/>
        </w:rPr>
        <w:footnoteReference w:id="5"/>
      </w:r>
      <w:r w:rsidR="00F62106">
        <w:rPr>
          <w:rFonts w:hint="eastAsia"/>
        </w:rPr>
        <w:t>を有する出願に特許を</w:t>
      </w:r>
      <w:r w:rsidR="00072CB5">
        <w:rPr>
          <w:rFonts w:hint="eastAsia"/>
        </w:rPr>
        <w:t>付与</w:t>
      </w:r>
      <w:r w:rsidR="00F62106" w:rsidRPr="002C1286">
        <w:rPr>
          <w:rFonts w:hint="eastAsia"/>
        </w:rPr>
        <w:t>する</w:t>
      </w:r>
      <w:r w:rsidR="002C1286" w:rsidRPr="002C1286">
        <w:rPr>
          <w:rFonts w:hint="eastAsia"/>
        </w:rPr>
        <w:t>旨</w:t>
      </w:r>
      <w:r w:rsidR="006C5ACB" w:rsidRPr="002C1286">
        <w:rPr>
          <w:rFonts w:hint="eastAsia"/>
        </w:rPr>
        <w:t>を</w:t>
      </w:r>
      <w:r w:rsidR="006C5ACB">
        <w:rPr>
          <w:rFonts w:hint="eastAsia"/>
        </w:rPr>
        <w:t>定めなければならない。</w:t>
      </w:r>
    </w:p>
    <w:p w14:paraId="7A91F00A" w14:textId="77777777" w:rsidR="006C5ACB" w:rsidRDefault="006C5ACB" w:rsidP="00112A0D"/>
    <w:p w14:paraId="4BB2AC3D" w14:textId="77777777" w:rsidR="009B72E3" w:rsidRDefault="009B72E3" w:rsidP="00112A0D">
      <w:pPr>
        <w:rPr>
          <w:b/>
        </w:rPr>
      </w:pPr>
      <w:r>
        <w:rPr>
          <w:rFonts w:hint="eastAsia"/>
          <w:b/>
        </w:rPr>
        <w:t>第</w:t>
      </w:r>
      <w:r>
        <w:rPr>
          <w:rFonts w:hint="eastAsia"/>
          <w:b/>
        </w:rPr>
        <w:t xml:space="preserve">18.43 </w:t>
      </w:r>
      <w:r>
        <w:rPr>
          <w:rFonts w:hint="eastAsia"/>
          <w:b/>
        </w:rPr>
        <w:t xml:space="preserve">条　</w:t>
      </w:r>
      <w:r w:rsidR="00851A60">
        <w:rPr>
          <w:rFonts w:hint="eastAsia"/>
          <w:b/>
        </w:rPr>
        <w:t>補正、訂正及び</w:t>
      </w:r>
      <w:r w:rsidR="00CE650E">
        <w:rPr>
          <w:rFonts w:hint="eastAsia"/>
          <w:b/>
        </w:rPr>
        <w:t>意見</w:t>
      </w:r>
    </w:p>
    <w:p w14:paraId="20867CB3" w14:textId="77777777" w:rsidR="00256D11" w:rsidRDefault="00256D11" w:rsidP="00112A0D">
      <w:pPr>
        <w:rPr>
          <w:b/>
        </w:rPr>
      </w:pPr>
    </w:p>
    <w:p w14:paraId="626A9F04" w14:textId="77777777" w:rsidR="00256D11" w:rsidRDefault="00256D11" w:rsidP="00112A0D">
      <w:r>
        <w:rPr>
          <w:rFonts w:hint="eastAsia"/>
        </w:rPr>
        <w:t xml:space="preserve">       </w:t>
      </w:r>
      <w:r>
        <w:rPr>
          <w:rFonts w:hint="eastAsia"/>
        </w:rPr>
        <w:t>各締約国は、特許出願</w:t>
      </w:r>
      <w:r w:rsidR="002C1286">
        <w:rPr>
          <w:rFonts w:hint="eastAsia"/>
        </w:rPr>
        <w:t>者</w:t>
      </w:r>
      <w:r>
        <w:rPr>
          <w:rFonts w:hint="eastAsia"/>
        </w:rPr>
        <w:t>に対して、その出願に関連した</w:t>
      </w:r>
      <w:r w:rsidR="00893DE7">
        <w:rPr>
          <w:rFonts w:hint="eastAsia"/>
        </w:rPr>
        <w:t>補正、訂正及び意見を述べる</w:t>
      </w:r>
      <w:r w:rsidR="00CE650E">
        <w:rPr>
          <w:rFonts w:hint="eastAsia"/>
        </w:rPr>
        <w:t>少なくとも一回の機会を与えなければならない。</w:t>
      </w:r>
      <w:r w:rsidR="00DE3A08">
        <w:rPr>
          <w:rStyle w:val="aa"/>
        </w:rPr>
        <w:footnoteReference w:id="6"/>
      </w:r>
    </w:p>
    <w:p w14:paraId="2F633AF0" w14:textId="77777777" w:rsidR="00CE650E" w:rsidRPr="00256D11" w:rsidRDefault="00CE650E" w:rsidP="00112A0D"/>
    <w:p w14:paraId="0CD8E4E7" w14:textId="77777777" w:rsidR="00851A60" w:rsidRDefault="00851A60" w:rsidP="00112A0D">
      <w:pPr>
        <w:rPr>
          <w:b/>
        </w:rPr>
      </w:pPr>
      <w:r>
        <w:rPr>
          <w:rFonts w:hint="eastAsia"/>
          <w:b/>
        </w:rPr>
        <w:t>第</w:t>
      </w:r>
      <w:r>
        <w:rPr>
          <w:rFonts w:hint="eastAsia"/>
          <w:b/>
        </w:rPr>
        <w:t>18.44</w:t>
      </w:r>
      <w:r>
        <w:rPr>
          <w:rFonts w:hint="eastAsia"/>
          <w:b/>
        </w:rPr>
        <w:t>条　特許出願の公開</w:t>
      </w:r>
    </w:p>
    <w:p w14:paraId="77D231FB" w14:textId="77777777" w:rsidR="00CE650E" w:rsidRDefault="00CE650E" w:rsidP="00112A0D">
      <w:pPr>
        <w:rPr>
          <w:b/>
        </w:rPr>
      </w:pPr>
    </w:p>
    <w:p w14:paraId="55D44FA3" w14:textId="77777777" w:rsidR="00CE650E" w:rsidRDefault="00CE650E" w:rsidP="00112A0D">
      <w:r>
        <w:rPr>
          <w:rFonts w:hint="eastAsia"/>
        </w:rPr>
        <w:t xml:space="preserve">1.     </w:t>
      </w:r>
      <w:r>
        <w:rPr>
          <w:rFonts w:hint="eastAsia"/>
        </w:rPr>
        <w:t>特許システム</w:t>
      </w:r>
      <w:r w:rsidR="00030737">
        <w:rPr>
          <w:rFonts w:hint="eastAsia"/>
        </w:rPr>
        <w:t>における透明性の</w:t>
      </w:r>
      <w:r w:rsidR="002C1286">
        <w:rPr>
          <w:rFonts w:hint="eastAsia"/>
        </w:rPr>
        <w:t>ために</w:t>
      </w:r>
      <w:r w:rsidR="00030737">
        <w:rPr>
          <w:rFonts w:hint="eastAsia"/>
        </w:rPr>
        <w:t>、各締約国は、出願日又は優先権が主張されている場合は最も早い優先日から</w:t>
      </w:r>
      <w:r w:rsidR="00030737">
        <w:rPr>
          <w:rFonts w:hint="eastAsia"/>
        </w:rPr>
        <w:t>18</w:t>
      </w:r>
      <w:r w:rsidR="00030737">
        <w:rPr>
          <w:rFonts w:hint="eastAsia"/>
        </w:rPr>
        <w:t>カ月</w:t>
      </w:r>
      <w:r w:rsidR="00775B60">
        <w:rPr>
          <w:rFonts w:hint="eastAsia"/>
        </w:rPr>
        <w:t>の経過後遅滞なく未公開の係属中の特許出願を公開するように努めなければならない。</w:t>
      </w:r>
    </w:p>
    <w:p w14:paraId="4CFFF7F5" w14:textId="77777777" w:rsidR="00775B60" w:rsidRDefault="00775B60" w:rsidP="00112A0D"/>
    <w:p w14:paraId="12D84062" w14:textId="77777777" w:rsidR="00E26AE9" w:rsidRDefault="00775B60" w:rsidP="00112A0D">
      <w:r>
        <w:rPr>
          <w:rFonts w:hint="eastAsia"/>
        </w:rPr>
        <w:t xml:space="preserve">2.     </w:t>
      </w:r>
      <w:r>
        <w:rPr>
          <w:rFonts w:hint="eastAsia"/>
        </w:rPr>
        <w:t>係属中の出願が</w:t>
      </w:r>
      <w:r w:rsidR="005447CF">
        <w:rPr>
          <w:rFonts w:hint="eastAsia"/>
        </w:rPr>
        <w:t>第</w:t>
      </w:r>
      <w:r w:rsidR="005447CF">
        <w:rPr>
          <w:rFonts w:hint="eastAsia"/>
        </w:rPr>
        <w:t>1</w:t>
      </w:r>
      <w:r w:rsidR="005447CF">
        <w:rPr>
          <w:rFonts w:hint="eastAsia"/>
        </w:rPr>
        <w:t>項に従い、遅滞なく公開されない場合、締約国は、</w:t>
      </w:r>
      <w:r w:rsidR="00E26AE9">
        <w:rPr>
          <w:rFonts w:hint="eastAsia"/>
        </w:rPr>
        <w:t>可能な限り早く、当該出願又は対応特許を公開しなければならない。</w:t>
      </w:r>
    </w:p>
    <w:p w14:paraId="0D2AA2EE" w14:textId="77777777" w:rsidR="00E26AE9" w:rsidRDefault="00E26AE9" w:rsidP="00112A0D"/>
    <w:p w14:paraId="37B94832" w14:textId="77777777" w:rsidR="00E26AE9" w:rsidRDefault="00E26AE9" w:rsidP="00112A0D">
      <w:r>
        <w:rPr>
          <w:rFonts w:hint="eastAsia"/>
        </w:rPr>
        <w:t xml:space="preserve">3.     </w:t>
      </w:r>
      <w:r w:rsidR="00254470">
        <w:rPr>
          <w:rFonts w:hint="eastAsia"/>
        </w:rPr>
        <w:t>各締約国は、出願</w:t>
      </w:r>
      <w:r w:rsidR="002C1286">
        <w:rPr>
          <w:rFonts w:hint="eastAsia"/>
        </w:rPr>
        <w:t>者</w:t>
      </w:r>
      <w:r w:rsidR="00254470">
        <w:rPr>
          <w:rFonts w:hint="eastAsia"/>
        </w:rPr>
        <w:t>が第</w:t>
      </w:r>
      <w:r w:rsidR="00254470">
        <w:rPr>
          <w:rFonts w:hint="eastAsia"/>
        </w:rPr>
        <w:t>1</w:t>
      </w:r>
      <w:r w:rsidR="00254470">
        <w:rPr>
          <w:rFonts w:hint="eastAsia"/>
        </w:rPr>
        <w:t>項の期間</w:t>
      </w:r>
      <w:r w:rsidR="00032DEC">
        <w:rPr>
          <w:rFonts w:hint="eastAsia"/>
        </w:rPr>
        <w:t>の満了前に出願を早期公開することを要請することができることを定めなければならない。</w:t>
      </w:r>
    </w:p>
    <w:p w14:paraId="5A1387CB" w14:textId="77777777" w:rsidR="00032DEC" w:rsidRDefault="00032DEC" w:rsidP="00112A0D"/>
    <w:p w14:paraId="3A4D6A96" w14:textId="77777777" w:rsidR="00851A60" w:rsidRDefault="00851A60" w:rsidP="00112A0D">
      <w:pPr>
        <w:rPr>
          <w:b/>
        </w:rPr>
      </w:pPr>
      <w:r>
        <w:rPr>
          <w:rFonts w:hint="eastAsia"/>
          <w:b/>
        </w:rPr>
        <w:t>第</w:t>
      </w:r>
      <w:r>
        <w:rPr>
          <w:rFonts w:hint="eastAsia"/>
          <w:b/>
        </w:rPr>
        <w:t>18.45</w:t>
      </w:r>
      <w:r>
        <w:rPr>
          <w:rFonts w:hint="eastAsia"/>
          <w:b/>
        </w:rPr>
        <w:t xml:space="preserve">条　</w:t>
      </w:r>
      <w:r w:rsidR="0089217F">
        <w:rPr>
          <w:rFonts w:hint="eastAsia"/>
          <w:b/>
        </w:rPr>
        <w:t>公開された特許出願及び付与された特許に関する情報</w:t>
      </w:r>
    </w:p>
    <w:p w14:paraId="46FECF4A" w14:textId="77777777" w:rsidR="00032DEC" w:rsidRDefault="00032DEC" w:rsidP="00112A0D">
      <w:pPr>
        <w:rPr>
          <w:b/>
        </w:rPr>
      </w:pPr>
    </w:p>
    <w:p w14:paraId="386318B5" w14:textId="77777777" w:rsidR="00032DEC" w:rsidRDefault="00032DEC" w:rsidP="00112A0D">
      <w:r>
        <w:rPr>
          <w:rFonts w:hint="eastAsia"/>
        </w:rPr>
        <w:t xml:space="preserve">       </w:t>
      </w:r>
      <w:r>
        <w:rPr>
          <w:rFonts w:hint="eastAsia"/>
        </w:rPr>
        <w:t>公開された特許出願及び</w:t>
      </w:r>
      <w:r w:rsidR="00546BA7">
        <w:rPr>
          <w:rFonts w:hint="eastAsia"/>
        </w:rPr>
        <w:t>付与された特許に関し、当該出願及び特許の</w:t>
      </w:r>
      <w:r w:rsidR="00910FE4">
        <w:rPr>
          <w:rFonts w:hint="eastAsia"/>
        </w:rPr>
        <w:t>遂行のための締約国の要件に従い、各締約国は、</w:t>
      </w:r>
      <w:r w:rsidR="00313BCD">
        <w:rPr>
          <w:rFonts w:hint="eastAsia"/>
        </w:rPr>
        <w:t>管轄当局の所有下にあり当該締約国のため</w:t>
      </w:r>
      <w:r w:rsidR="002C1286">
        <w:rPr>
          <w:rFonts w:hint="eastAsia"/>
        </w:rPr>
        <w:t>の</w:t>
      </w:r>
      <w:r w:rsidR="00313BCD">
        <w:rPr>
          <w:rFonts w:hint="eastAsia"/>
        </w:rPr>
        <w:t>本協定の発効日以降に</w:t>
      </w:r>
      <w:r w:rsidR="002C1286">
        <w:rPr>
          <w:rFonts w:hint="eastAsia"/>
        </w:rPr>
        <w:t>生じた</w:t>
      </w:r>
      <w:r w:rsidR="007F0CE6">
        <w:rPr>
          <w:rFonts w:hint="eastAsia"/>
        </w:rPr>
        <w:t>範囲で、少なくとも次の情報を</w:t>
      </w:r>
      <w:r w:rsidR="002C1286">
        <w:rPr>
          <w:rFonts w:hint="eastAsia"/>
        </w:rPr>
        <w:t>公表</w:t>
      </w:r>
      <w:r w:rsidR="007F0CE6">
        <w:rPr>
          <w:rFonts w:hint="eastAsia"/>
        </w:rPr>
        <w:t>しなければならない。</w:t>
      </w:r>
    </w:p>
    <w:p w14:paraId="4CB7B4E4" w14:textId="77777777" w:rsidR="007F0CE6" w:rsidRDefault="007F0CE6" w:rsidP="00112A0D"/>
    <w:p w14:paraId="3EA36033" w14:textId="77777777" w:rsidR="00BA450F" w:rsidRDefault="00BA450F" w:rsidP="00112A0D">
      <w:pPr>
        <w:ind w:leftChars="337" w:left="1558" w:hangingChars="405" w:hanging="850"/>
      </w:pPr>
      <w:r>
        <w:rPr>
          <w:rFonts w:hint="eastAsia"/>
        </w:rPr>
        <w:t xml:space="preserve">(a)     </w:t>
      </w:r>
      <w:r w:rsidR="00C0670E">
        <w:rPr>
          <w:rFonts w:hint="eastAsia"/>
        </w:rPr>
        <w:t>関連先行技術調査の詳細又は関連先行技術調査に関する情報等、調査結果及び審査結果</w:t>
      </w:r>
    </w:p>
    <w:p w14:paraId="1CAE6869" w14:textId="77777777" w:rsidR="00C0670E" w:rsidRDefault="00C0670E" w:rsidP="00112A0D">
      <w:pPr>
        <w:ind w:leftChars="337" w:left="1558" w:hangingChars="405" w:hanging="850"/>
      </w:pPr>
    </w:p>
    <w:p w14:paraId="69E83C7D" w14:textId="77777777" w:rsidR="00C0670E" w:rsidRDefault="00C0670E" w:rsidP="00112A0D">
      <w:pPr>
        <w:ind w:leftChars="337" w:left="1558" w:hangingChars="405" w:hanging="850"/>
      </w:pPr>
      <w:r>
        <w:rPr>
          <w:rFonts w:hint="eastAsia"/>
        </w:rPr>
        <w:lastRenderedPageBreak/>
        <w:t xml:space="preserve">(b)     </w:t>
      </w:r>
      <w:r w:rsidR="00F777DC">
        <w:rPr>
          <w:rFonts w:hint="eastAsia"/>
        </w:rPr>
        <w:t>必要に応じて、出願</w:t>
      </w:r>
      <w:r w:rsidR="002C1286">
        <w:rPr>
          <w:rFonts w:hint="eastAsia"/>
        </w:rPr>
        <w:t>者</w:t>
      </w:r>
      <w:r w:rsidR="00F777DC">
        <w:rPr>
          <w:rFonts w:hint="eastAsia"/>
        </w:rPr>
        <w:t>からの</w:t>
      </w:r>
      <w:r w:rsidR="002C1286">
        <w:rPr>
          <w:rFonts w:hint="eastAsia"/>
        </w:rPr>
        <w:t>守秘義務のな</w:t>
      </w:r>
      <w:r w:rsidR="002C1286" w:rsidRPr="002C1286">
        <w:rPr>
          <w:rFonts w:hint="eastAsia"/>
        </w:rPr>
        <w:t>い</w:t>
      </w:r>
      <w:r w:rsidR="00EE6BDC" w:rsidRPr="002C1286">
        <w:rPr>
          <w:rFonts w:hint="eastAsia"/>
        </w:rPr>
        <w:t>通信文、</w:t>
      </w:r>
      <w:r w:rsidR="00EE6BDC">
        <w:rPr>
          <w:rFonts w:hint="eastAsia"/>
        </w:rPr>
        <w:t>及び、</w:t>
      </w:r>
    </w:p>
    <w:p w14:paraId="0D657808" w14:textId="77777777" w:rsidR="00EE6BDC" w:rsidRDefault="00EE6BDC" w:rsidP="00112A0D">
      <w:pPr>
        <w:ind w:leftChars="337" w:left="1558" w:hangingChars="405" w:hanging="850"/>
      </w:pPr>
    </w:p>
    <w:p w14:paraId="08BA7E9C" w14:textId="77777777" w:rsidR="00EE6BDC" w:rsidRDefault="00EE6BDC" w:rsidP="00112A0D">
      <w:pPr>
        <w:ind w:leftChars="337" w:left="1558" w:hangingChars="405" w:hanging="850"/>
      </w:pPr>
      <w:r>
        <w:rPr>
          <w:rFonts w:hint="eastAsia"/>
        </w:rPr>
        <w:t xml:space="preserve">(c)     </w:t>
      </w:r>
      <w:r w:rsidR="003E6C0F">
        <w:rPr>
          <w:rFonts w:hint="eastAsia"/>
        </w:rPr>
        <w:t>出願</w:t>
      </w:r>
      <w:r w:rsidR="002C1286">
        <w:rPr>
          <w:rFonts w:hint="eastAsia"/>
        </w:rPr>
        <w:t>者</w:t>
      </w:r>
      <w:r w:rsidR="003E6C0F">
        <w:rPr>
          <w:rFonts w:hint="eastAsia"/>
        </w:rPr>
        <w:t>及び関連する第三者が提出した特許引用文献及び非特許引用文献</w:t>
      </w:r>
    </w:p>
    <w:p w14:paraId="7597E6E2" w14:textId="77777777" w:rsidR="003E6C0F" w:rsidRDefault="003E6C0F" w:rsidP="00112A0D"/>
    <w:p w14:paraId="5F815F7D" w14:textId="77777777" w:rsidR="006626BE" w:rsidRDefault="0089217F" w:rsidP="00112A0D">
      <w:pPr>
        <w:rPr>
          <w:b/>
        </w:rPr>
      </w:pPr>
      <w:r>
        <w:rPr>
          <w:rFonts w:hint="eastAsia"/>
          <w:b/>
        </w:rPr>
        <w:t>第</w:t>
      </w:r>
      <w:r>
        <w:rPr>
          <w:rFonts w:hint="eastAsia"/>
          <w:b/>
        </w:rPr>
        <w:t>18.46</w:t>
      </w:r>
      <w:r>
        <w:rPr>
          <w:rFonts w:hint="eastAsia"/>
          <w:b/>
        </w:rPr>
        <w:t xml:space="preserve">条　</w:t>
      </w:r>
      <w:r w:rsidR="006626BE">
        <w:rPr>
          <w:rFonts w:hint="eastAsia"/>
          <w:b/>
        </w:rPr>
        <w:t>審査官遅滞</w:t>
      </w:r>
      <w:r w:rsidR="002C1286">
        <w:rPr>
          <w:rFonts w:hint="eastAsia"/>
          <w:b/>
        </w:rPr>
        <w:t>のための</w:t>
      </w:r>
      <w:r w:rsidR="006626BE">
        <w:rPr>
          <w:rFonts w:hint="eastAsia"/>
          <w:b/>
        </w:rPr>
        <w:t>特許調整期間</w:t>
      </w:r>
    </w:p>
    <w:p w14:paraId="01393420" w14:textId="77777777" w:rsidR="003A78EF" w:rsidRDefault="003A78EF" w:rsidP="00112A0D">
      <w:pPr>
        <w:rPr>
          <w:b/>
        </w:rPr>
      </w:pPr>
    </w:p>
    <w:p w14:paraId="0A9170D1" w14:textId="77777777" w:rsidR="003A78EF" w:rsidRDefault="003A78EF" w:rsidP="00112A0D">
      <w:r>
        <w:rPr>
          <w:rFonts w:hint="eastAsia"/>
        </w:rPr>
        <w:t xml:space="preserve">1.     </w:t>
      </w:r>
      <w:r>
        <w:rPr>
          <w:rFonts w:hint="eastAsia"/>
        </w:rPr>
        <w:t>各締約国は、最善の努力を尽くして、</w:t>
      </w:r>
      <w:r w:rsidR="003E1147">
        <w:rPr>
          <w:rFonts w:hint="eastAsia"/>
        </w:rPr>
        <w:t>不合理な、又は不要な遅滞を避けるという点で、有効に適時に特許出願を</w:t>
      </w:r>
      <w:r w:rsidR="008249E8">
        <w:rPr>
          <w:rFonts w:hint="eastAsia"/>
        </w:rPr>
        <w:t>進</w:t>
      </w:r>
      <w:r w:rsidR="003E1147">
        <w:rPr>
          <w:rFonts w:hint="eastAsia"/>
        </w:rPr>
        <w:t>めていかな</w:t>
      </w:r>
      <w:r w:rsidR="008249E8">
        <w:rPr>
          <w:rFonts w:hint="eastAsia"/>
        </w:rPr>
        <w:t>ければならない。</w:t>
      </w:r>
    </w:p>
    <w:p w14:paraId="08A1B675" w14:textId="77777777" w:rsidR="008249E8" w:rsidRDefault="008249E8" w:rsidP="00112A0D"/>
    <w:p w14:paraId="3EE14BC8" w14:textId="77777777" w:rsidR="008249E8" w:rsidRDefault="008249E8" w:rsidP="00112A0D">
      <w:r>
        <w:rPr>
          <w:rFonts w:hint="eastAsia"/>
        </w:rPr>
        <w:t xml:space="preserve">2.     </w:t>
      </w:r>
      <w:r>
        <w:rPr>
          <w:rFonts w:hint="eastAsia"/>
        </w:rPr>
        <w:t>締約国は、</w:t>
      </w:r>
      <w:r w:rsidR="002C1286">
        <w:rPr>
          <w:rFonts w:hint="eastAsia"/>
        </w:rPr>
        <w:t>特許出願人が</w:t>
      </w:r>
      <w:r w:rsidR="000C5477">
        <w:rPr>
          <w:rFonts w:hint="eastAsia"/>
        </w:rPr>
        <w:t>特許出願の審査を促進することを要請する手続きを定めることができる。</w:t>
      </w:r>
    </w:p>
    <w:p w14:paraId="64250C5C" w14:textId="77777777" w:rsidR="00112A0D" w:rsidRDefault="00112A0D" w:rsidP="00112A0D"/>
    <w:p w14:paraId="7C581FB4" w14:textId="77777777" w:rsidR="000C5477" w:rsidRDefault="000C5477" w:rsidP="00112A0D">
      <w:r>
        <w:rPr>
          <w:rFonts w:hint="eastAsia"/>
        </w:rPr>
        <w:t xml:space="preserve">3.     </w:t>
      </w:r>
      <w:r w:rsidR="004A21BF">
        <w:rPr>
          <w:rFonts w:hint="eastAsia"/>
        </w:rPr>
        <w:t>締約国の特許の発行に</w:t>
      </w:r>
      <w:r w:rsidR="002C1286">
        <w:rPr>
          <w:rFonts w:hint="eastAsia"/>
        </w:rPr>
        <w:t>おいて</w:t>
      </w:r>
      <w:r w:rsidR="004A21BF">
        <w:rPr>
          <w:rFonts w:hint="eastAsia"/>
        </w:rPr>
        <w:t>不合理な遅滞があった場合、当該締約国は、特許権者の</w:t>
      </w:r>
      <w:r w:rsidR="00EB1CA8">
        <w:rPr>
          <w:rFonts w:hint="eastAsia"/>
        </w:rPr>
        <w:t>要請で、当該遅滞を補うための特許権の期間を調整するための措置を講じなければならない。</w:t>
      </w:r>
      <w:r w:rsidR="00DE3A08">
        <w:rPr>
          <w:rStyle w:val="aa"/>
        </w:rPr>
        <w:footnoteReference w:id="7"/>
      </w:r>
    </w:p>
    <w:p w14:paraId="5BC52703" w14:textId="77777777" w:rsidR="009161B6" w:rsidRDefault="009161B6" w:rsidP="00112A0D"/>
    <w:p w14:paraId="35768A36" w14:textId="77777777" w:rsidR="009161B6" w:rsidRDefault="009161B6" w:rsidP="00112A0D">
      <w:r>
        <w:rPr>
          <w:rFonts w:hint="eastAsia"/>
        </w:rPr>
        <w:t xml:space="preserve">4.     </w:t>
      </w:r>
      <w:r>
        <w:rPr>
          <w:rFonts w:hint="eastAsia"/>
        </w:rPr>
        <w:t>本条に関し、不合理な遅滞には、</w:t>
      </w:r>
      <w:r w:rsidR="00111FEA">
        <w:rPr>
          <w:rFonts w:hint="eastAsia"/>
        </w:rPr>
        <w:t>少なくとも、</w:t>
      </w:r>
      <w:r w:rsidR="00960D3E">
        <w:rPr>
          <w:rFonts w:hint="eastAsia"/>
        </w:rPr>
        <w:t>締約国の領域内での特許出願日</w:t>
      </w:r>
      <w:r w:rsidR="00D730B4">
        <w:rPr>
          <w:rFonts w:hint="eastAsia"/>
        </w:rPr>
        <w:t>から</w:t>
      </w:r>
      <w:r w:rsidR="00D730B4">
        <w:rPr>
          <w:rFonts w:hint="eastAsia"/>
        </w:rPr>
        <w:t>5</w:t>
      </w:r>
      <w:r w:rsidR="00D730B4">
        <w:rPr>
          <w:rFonts w:hint="eastAsia"/>
        </w:rPr>
        <w:t>年を超える特許発行の遅延又は</w:t>
      </w:r>
      <w:r w:rsidR="00111FEA">
        <w:rPr>
          <w:rFonts w:hint="eastAsia"/>
        </w:rPr>
        <w:t>出願</w:t>
      </w:r>
      <w:r w:rsidR="002C1286">
        <w:rPr>
          <w:rFonts w:hint="eastAsia"/>
        </w:rPr>
        <w:t>者</w:t>
      </w:r>
      <w:r w:rsidR="00111FEA">
        <w:rPr>
          <w:rFonts w:hint="eastAsia"/>
        </w:rPr>
        <w:t>の審査請求がなされ</w:t>
      </w:r>
      <w:r w:rsidR="002C1286">
        <w:rPr>
          <w:rFonts w:hint="eastAsia"/>
        </w:rPr>
        <w:t>てから</w:t>
      </w:r>
      <w:r w:rsidR="002C1286">
        <w:rPr>
          <w:rFonts w:hint="eastAsia"/>
        </w:rPr>
        <w:t>3</w:t>
      </w:r>
      <w:r w:rsidR="00111FEA">
        <w:rPr>
          <w:rFonts w:hint="eastAsia"/>
        </w:rPr>
        <w:t>年</w:t>
      </w:r>
      <w:r w:rsidR="002C1286">
        <w:rPr>
          <w:rFonts w:hint="eastAsia"/>
        </w:rPr>
        <w:t>後</w:t>
      </w:r>
      <w:r w:rsidR="00111FEA">
        <w:rPr>
          <w:rFonts w:hint="eastAsia"/>
        </w:rPr>
        <w:t>のいずれか遅いほうが含まれるものとする。</w:t>
      </w:r>
      <w:r w:rsidR="00C50727">
        <w:rPr>
          <w:rFonts w:hint="eastAsia"/>
        </w:rPr>
        <w:t>締約国は、</w:t>
      </w:r>
      <w:r w:rsidR="003B4961">
        <w:rPr>
          <w:rFonts w:hint="eastAsia"/>
        </w:rPr>
        <w:t>認可当局</w:t>
      </w:r>
      <w:r w:rsidR="00E00EE6">
        <w:rPr>
          <w:rFonts w:hint="eastAsia"/>
        </w:rPr>
        <w:t>による特許出願の進行</w:t>
      </w:r>
      <w:r w:rsidR="00DE3A08">
        <w:rPr>
          <w:rStyle w:val="aa"/>
        </w:rPr>
        <w:footnoteReference w:id="8"/>
      </w:r>
      <w:r w:rsidR="00E00EE6">
        <w:rPr>
          <w:rFonts w:hint="eastAsia"/>
        </w:rPr>
        <w:t>又は審査の間に</w:t>
      </w:r>
      <w:r w:rsidR="002C1286">
        <w:rPr>
          <w:rFonts w:hint="eastAsia"/>
        </w:rPr>
        <w:t>発生しなかった</w:t>
      </w:r>
      <w:r w:rsidR="00E00EE6">
        <w:rPr>
          <w:rFonts w:hint="eastAsia"/>
        </w:rPr>
        <w:t>期間</w:t>
      </w:r>
      <w:r w:rsidR="00F628EB">
        <w:rPr>
          <w:rFonts w:hint="eastAsia"/>
        </w:rPr>
        <w:t>、認容当局に直接</w:t>
      </w:r>
      <w:r w:rsidR="005C1BFF">
        <w:rPr>
          <w:rFonts w:hint="eastAsia"/>
        </w:rPr>
        <w:t>帰しない期間</w:t>
      </w:r>
      <w:r w:rsidR="007D20C4">
        <w:rPr>
          <w:rStyle w:val="aa"/>
        </w:rPr>
        <w:footnoteReference w:id="9"/>
      </w:r>
      <w:r w:rsidR="005C1BFF">
        <w:rPr>
          <w:rFonts w:hint="eastAsia"/>
        </w:rPr>
        <w:t>、及び特許出願</w:t>
      </w:r>
      <w:r w:rsidR="002C1286">
        <w:rPr>
          <w:rFonts w:hint="eastAsia"/>
        </w:rPr>
        <w:t>者</w:t>
      </w:r>
      <w:r w:rsidR="005C1BFF">
        <w:rPr>
          <w:rFonts w:hint="eastAsia"/>
        </w:rPr>
        <w:t>に帰する期間</w:t>
      </w:r>
      <w:r w:rsidR="002C1286">
        <w:rPr>
          <w:rStyle w:val="aa"/>
        </w:rPr>
        <w:footnoteReference w:id="10"/>
      </w:r>
      <w:r w:rsidR="005C1BFF">
        <w:rPr>
          <w:rFonts w:hint="eastAsia"/>
        </w:rPr>
        <w:t>を</w:t>
      </w:r>
      <w:r w:rsidR="00B25B57">
        <w:rPr>
          <w:rFonts w:hint="eastAsia"/>
        </w:rPr>
        <w:t>、</w:t>
      </w:r>
      <w:r w:rsidR="005C1BFF">
        <w:rPr>
          <w:rFonts w:hint="eastAsia"/>
        </w:rPr>
        <w:t>当該遅延の決定から</w:t>
      </w:r>
      <w:r w:rsidR="00E00EE6">
        <w:rPr>
          <w:rFonts w:hint="eastAsia"/>
        </w:rPr>
        <w:t>除外することができる。</w:t>
      </w:r>
    </w:p>
    <w:p w14:paraId="1FA11794" w14:textId="77777777" w:rsidR="0057073B" w:rsidRPr="0057073B" w:rsidRDefault="0057073B" w:rsidP="00112A0D"/>
    <w:p w14:paraId="02125A11" w14:textId="77777777" w:rsidR="006626BE" w:rsidRDefault="004E332D" w:rsidP="00112A0D">
      <w:pPr>
        <w:rPr>
          <w:b/>
        </w:rPr>
      </w:pPr>
      <w:r>
        <w:rPr>
          <w:rFonts w:hint="eastAsia"/>
          <w:b/>
        </w:rPr>
        <w:t>第</w:t>
      </w:r>
      <w:r>
        <w:rPr>
          <w:rFonts w:hint="eastAsia"/>
          <w:b/>
        </w:rPr>
        <w:t>B</w:t>
      </w:r>
      <w:r w:rsidR="001D7D36" w:rsidRPr="001D7D36">
        <w:rPr>
          <w:rFonts w:hint="eastAsia"/>
          <w:b/>
        </w:rPr>
        <w:t>款</w:t>
      </w:r>
    </w:p>
    <w:p w14:paraId="1515F4BA" w14:textId="77777777" w:rsidR="009A490D" w:rsidRDefault="009A490D" w:rsidP="00112A0D">
      <w:pPr>
        <w:rPr>
          <w:b/>
        </w:rPr>
      </w:pPr>
    </w:p>
    <w:p w14:paraId="065A400B" w14:textId="77777777" w:rsidR="009A490D" w:rsidRDefault="009A490D" w:rsidP="00112A0D">
      <w:pPr>
        <w:rPr>
          <w:b/>
        </w:rPr>
      </w:pPr>
      <w:r>
        <w:rPr>
          <w:rFonts w:hint="eastAsia"/>
          <w:b/>
        </w:rPr>
        <w:t>第</w:t>
      </w:r>
      <w:r>
        <w:rPr>
          <w:rFonts w:hint="eastAsia"/>
          <w:b/>
        </w:rPr>
        <w:t>18.47</w:t>
      </w:r>
      <w:r>
        <w:rPr>
          <w:rFonts w:hint="eastAsia"/>
          <w:b/>
        </w:rPr>
        <w:t>条　農業</w:t>
      </w:r>
      <w:r w:rsidR="00D057CF">
        <w:rPr>
          <w:rFonts w:hint="eastAsia"/>
          <w:b/>
        </w:rPr>
        <w:t>用の</w:t>
      </w:r>
      <w:r>
        <w:rPr>
          <w:rFonts w:hint="eastAsia"/>
          <w:b/>
        </w:rPr>
        <w:t>化学品</w:t>
      </w:r>
      <w:r w:rsidR="00D057CF">
        <w:rPr>
          <w:rFonts w:hint="eastAsia"/>
          <w:b/>
        </w:rPr>
        <w:t>のための</w:t>
      </w:r>
      <w:r>
        <w:rPr>
          <w:rFonts w:hint="eastAsia"/>
          <w:b/>
        </w:rPr>
        <w:t>非開示</w:t>
      </w:r>
      <w:r w:rsidR="00D057CF">
        <w:rPr>
          <w:rFonts w:hint="eastAsia"/>
          <w:b/>
        </w:rPr>
        <w:t>試験データ</w:t>
      </w:r>
      <w:r>
        <w:rPr>
          <w:rFonts w:hint="eastAsia"/>
          <w:b/>
        </w:rPr>
        <w:t>その他のデータの保護</w:t>
      </w:r>
    </w:p>
    <w:p w14:paraId="4F57A084" w14:textId="77777777" w:rsidR="00A11108" w:rsidRDefault="00A11108" w:rsidP="00112A0D">
      <w:pPr>
        <w:rPr>
          <w:b/>
        </w:rPr>
      </w:pPr>
    </w:p>
    <w:p w14:paraId="6FB5BC78" w14:textId="77777777" w:rsidR="00A11108" w:rsidRDefault="00EB135C" w:rsidP="00112A0D">
      <w:r>
        <w:rPr>
          <w:rFonts w:hint="eastAsia"/>
        </w:rPr>
        <w:t xml:space="preserve">1.     </w:t>
      </w:r>
      <w:r w:rsidR="00A11108">
        <w:rPr>
          <w:rFonts w:hint="eastAsia"/>
        </w:rPr>
        <w:t>締約国が、</w:t>
      </w:r>
      <w:r w:rsidR="005B61A6">
        <w:rPr>
          <w:rFonts w:hint="eastAsia"/>
        </w:rPr>
        <w:t>新規の農業用の化学品のための</w:t>
      </w:r>
      <w:r w:rsidR="00166A7F">
        <w:rPr>
          <w:rFonts w:hint="eastAsia"/>
        </w:rPr>
        <w:t>販売承認を</w:t>
      </w:r>
      <w:r w:rsidR="00343541">
        <w:rPr>
          <w:rFonts w:hint="eastAsia"/>
        </w:rPr>
        <w:t>付与</w:t>
      </w:r>
      <w:r w:rsidR="00166A7F">
        <w:rPr>
          <w:rFonts w:hint="eastAsia"/>
        </w:rPr>
        <w:t>するための条件として、</w:t>
      </w:r>
      <w:r w:rsidR="00343541">
        <w:rPr>
          <w:rStyle w:val="aa"/>
        </w:rPr>
        <w:footnoteReference w:id="11"/>
      </w:r>
      <w:r>
        <w:rPr>
          <w:rFonts w:hint="eastAsia"/>
        </w:rPr>
        <w:t>当該</w:t>
      </w:r>
      <w:r w:rsidR="00CB040E">
        <w:rPr>
          <w:rFonts w:hint="eastAsia"/>
        </w:rPr>
        <w:t>製品</w:t>
      </w:r>
      <w:r w:rsidR="006404AC">
        <w:rPr>
          <w:rFonts w:hint="eastAsia"/>
        </w:rPr>
        <w:t>の安全性及び有効性に関する非開示の試験データその他のデータ</w:t>
      </w:r>
      <w:r w:rsidR="00CB040E">
        <w:rPr>
          <w:rFonts w:hint="eastAsia"/>
        </w:rPr>
        <w:t>の提出</w:t>
      </w:r>
      <w:r w:rsidR="006404AC">
        <w:rPr>
          <w:rFonts w:hint="eastAsia"/>
        </w:rPr>
        <w:t>を要請する場合、</w:t>
      </w:r>
      <w:r w:rsidR="00B060AC">
        <w:rPr>
          <w:rStyle w:val="aa"/>
        </w:rPr>
        <w:footnoteReference w:id="12"/>
      </w:r>
      <w:r w:rsidR="006404AC">
        <w:rPr>
          <w:rFonts w:hint="eastAsia"/>
        </w:rPr>
        <w:t>当該締約国は、</w:t>
      </w:r>
      <w:r w:rsidR="00441338">
        <w:rPr>
          <w:rFonts w:hint="eastAsia"/>
        </w:rPr>
        <w:t>従前に当該情報を提出した者の同意なしに、当該情報又は</w:t>
      </w:r>
      <w:r w:rsidR="007D5EED">
        <w:rPr>
          <w:rFonts w:hint="eastAsia"/>
        </w:rPr>
        <w:t>当該締</w:t>
      </w:r>
      <w:r w:rsidR="007D5EED">
        <w:rPr>
          <w:rFonts w:hint="eastAsia"/>
        </w:rPr>
        <w:lastRenderedPageBreak/>
        <w:t>約国の領土内における当該新規の農業用の化学品</w:t>
      </w:r>
      <w:r w:rsidR="00FC4561">
        <w:rPr>
          <w:rFonts w:hint="eastAsia"/>
        </w:rPr>
        <w:t>の販売承認日から少なくとも</w:t>
      </w:r>
      <w:r w:rsidR="00FC4561">
        <w:rPr>
          <w:rFonts w:hint="eastAsia"/>
        </w:rPr>
        <w:t>10</w:t>
      </w:r>
      <w:r w:rsidR="00FC4561">
        <w:rPr>
          <w:rFonts w:hint="eastAsia"/>
        </w:rPr>
        <w:t>年間</w:t>
      </w:r>
      <w:r w:rsidR="00392F37">
        <w:rPr>
          <w:rStyle w:val="aa"/>
        </w:rPr>
        <w:footnoteReference w:id="13"/>
      </w:r>
      <w:r w:rsidR="00FC4561">
        <w:rPr>
          <w:rFonts w:hint="eastAsia"/>
        </w:rPr>
        <w:t>、当該試験データ又はその他のデータを提出した者に</w:t>
      </w:r>
      <w:r w:rsidR="00CB040E">
        <w:rPr>
          <w:rFonts w:hint="eastAsia"/>
        </w:rPr>
        <w:t>付与</w:t>
      </w:r>
      <w:r w:rsidR="00FC4561">
        <w:rPr>
          <w:rFonts w:hint="eastAsia"/>
        </w:rPr>
        <w:t>された販売承認</w:t>
      </w:r>
      <w:r w:rsidR="0022657F">
        <w:rPr>
          <w:rFonts w:hint="eastAsia"/>
        </w:rPr>
        <w:t>に基づき、</w:t>
      </w:r>
      <w:r w:rsidR="00CB040E">
        <w:rPr>
          <w:rFonts w:hint="eastAsia"/>
        </w:rPr>
        <w:t>同等の</w:t>
      </w:r>
      <w:r w:rsidR="0022657F">
        <w:rPr>
          <w:rFonts w:hint="eastAsia"/>
        </w:rPr>
        <w:t>製品又は類似の</w:t>
      </w:r>
      <w:r w:rsidR="00B12BCE">
        <w:rPr>
          <w:rStyle w:val="aa"/>
        </w:rPr>
        <w:footnoteReference w:id="14"/>
      </w:r>
      <w:r w:rsidR="0022657F">
        <w:rPr>
          <w:rFonts w:hint="eastAsia"/>
        </w:rPr>
        <w:t>製品を販売することを、第三者に許可してはならない。</w:t>
      </w:r>
    </w:p>
    <w:p w14:paraId="2A0C439A" w14:textId="77777777" w:rsidR="000972C5" w:rsidRDefault="000972C5" w:rsidP="00112A0D"/>
    <w:p w14:paraId="338A3619" w14:textId="77777777" w:rsidR="000972C5" w:rsidRDefault="000972C5" w:rsidP="00112A0D">
      <w:r>
        <w:rPr>
          <w:rFonts w:hint="eastAsia"/>
        </w:rPr>
        <w:t xml:space="preserve">2.     </w:t>
      </w:r>
      <w:r w:rsidRPr="008365C3">
        <w:rPr>
          <w:rFonts w:hint="eastAsia"/>
        </w:rPr>
        <w:t>新規の農業用の化学品のための販売承認を</w:t>
      </w:r>
      <w:r w:rsidR="00CB040E" w:rsidRPr="008365C3">
        <w:rPr>
          <w:rFonts w:hint="eastAsia"/>
        </w:rPr>
        <w:t>付与</w:t>
      </w:r>
      <w:r w:rsidRPr="008365C3">
        <w:rPr>
          <w:rFonts w:hint="eastAsia"/>
        </w:rPr>
        <w:t>するための条件として、</w:t>
      </w:r>
      <w:r w:rsidR="008365C3" w:rsidRPr="008365C3">
        <w:rPr>
          <w:rFonts w:hint="eastAsia"/>
        </w:rPr>
        <w:t>締約国が他</w:t>
      </w:r>
      <w:r w:rsidR="000F0FCF" w:rsidRPr="008365C3">
        <w:rPr>
          <w:rFonts w:hint="eastAsia"/>
        </w:rPr>
        <w:t>の領域における当該製品の事前の販売承認</w:t>
      </w:r>
      <w:r w:rsidR="00CB683A" w:rsidRPr="008365C3">
        <w:rPr>
          <w:rFonts w:hint="eastAsia"/>
        </w:rPr>
        <w:t>の証拠の提出を許可した場合、当該締約国は、従前の</w:t>
      </w:r>
      <w:r w:rsidR="004E20D4" w:rsidRPr="008365C3">
        <w:rPr>
          <w:rFonts w:hint="eastAsia"/>
        </w:rPr>
        <w:t>販売承認を支持する際に、当該製品の安全性及び有効性に関する非開示の試験データ又はその他のデータ</w:t>
      </w:r>
      <w:r w:rsidR="00A05828" w:rsidRPr="008365C3">
        <w:rPr>
          <w:rFonts w:hint="eastAsia"/>
        </w:rPr>
        <w:t>を従前に提出した者の同意なしに、</w:t>
      </w:r>
      <w:r w:rsidR="00C563F8" w:rsidRPr="008365C3">
        <w:rPr>
          <w:rFonts w:hint="eastAsia"/>
        </w:rPr>
        <w:t>当該締約国の領域において</w:t>
      </w:r>
      <w:r w:rsidR="004930B7" w:rsidRPr="008365C3">
        <w:rPr>
          <w:rFonts w:hint="eastAsia"/>
        </w:rPr>
        <w:t>当該新規の農業用の化学品の販売承認日より少なくとも</w:t>
      </w:r>
      <w:r w:rsidR="004930B7" w:rsidRPr="008365C3">
        <w:rPr>
          <w:rFonts w:hint="eastAsia"/>
        </w:rPr>
        <w:t>10</w:t>
      </w:r>
      <w:r w:rsidR="004930B7" w:rsidRPr="008365C3">
        <w:rPr>
          <w:rFonts w:hint="eastAsia"/>
        </w:rPr>
        <w:t>年間、</w:t>
      </w:r>
      <w:r w:rsidR="00A05828" w:rsidRPr="008365C3">
        <w:rPr>
          <w:rFonts w:hint="eastAsia"/>
        </w:rPr>
        <w:t>当該非開示の試験データ又はその他のデータ若しくは</w:t>
      </w:r>
      <w:r w:rsidR="003A3DCB" w:rsidRPr="008365C3">
        <w:rPr>
          <w:rFonts w:hint="eastAsia"/>
        </w:rPr>
        <w:t>当該</w:t>
      </w:r>
      <w:r w:rsidR="00CB040E" w:rsidRPr="008365C3">
        <w:rPr>
          <w:rFonts w:hint="eastAsia"/>
        </w:rPr>
        <w:t>他</w:t>
      </w:r>
      <w:r w:rsidR="003A3DCB" w:rsidRPr="008365C3">
        <w:rPr>
          <w:rFonts w:hint="eastAsia"/>
        </w:rPr>
        <w:t>の領域における従前の販売承認の他の証拠に基づき、</w:t>
      </w:r>
      <w:r w:rsidR="008365C3" w:rsidRPr="008365C3">
        <w:rPr>
          <w:rFonts w:hint="eastAsia"/>
        </w:rPr>
        <w:t>同等</w:t>
      </w:r>
      <w:r w:rsidR="003A3DCB" w:rsidRPr="008365C3">
        <w:rPr>
          <w:rFonts w:hint="eastAsia"/>
        </w:rPr>
        <w:t>又は類似の製品</w:t>
      </w:r>
      <w:r w:rsidR="00C563F8" w:rsidRPr="008365C3">
        <w:rPr>
          <w:rFonts w:hint="eastAsia"/>
        </w:rPr>
        <w:t>を販売することを第三者に許可してはならない。</w:t>
      </w:r>
    </w:p>
    <w:p w14:paraId="584A3E0A" w14:textId="77777777" w:rsidR="00FB341B" w:rsidRDefault="00FB341B" w:rsidP="00112A0D"/>
    <w:p w14:paraId="333AE11F" w14:textId="77777777" w:rsidR="00FB341B" w:rsidRPr="00A11108" w:rsidRDefault="00FB341B" w:rsidP="00112A0D">
      <w:r>
        <w:rPr>
          <w:rFonts w:hint="eastAsia"/>
        </w:rPr>
        <w:t xml:space="preserve">3.     </w:t>
      </w:r>
      <w:r w:rsidR="00AC42C9">
        <w:rPr>
          <w:rFonts w:hint="eastAsia"/>
        </w:rPr>
        <w:t>本条に関し、新規の農業用の化学品とは、農業用の化学品において、使用のために、</w:t>
      </w:r>
      <w:r w:rsidR="00EE6DF7">
        <w:rPr>
          <w:rFonts w:hint="eastAsia"/>
        </w:rPr>
        <w:t>当該締約国の領域内で従前に承認されていなかった化学成分を含む</w:t>
      </w:r>
      <w:r w:rsidR="00392F37">
        <w:rPr>
          <w:rStyle w:val="aa"/>
        </w:rPr>
        <w:footnoteReference w:id="15"/>
      </w:r>
      <w:r w:rsidR="00EE6DF7">
        <w:rPr>
          <w:rFonts w:hint="eastAsia"/>
        </w:rPr>
        <w:t>ものである。</w:t>
      </w:r>
    </w:p>
    <w:p w14:paraId="74DB33C8" w14:textId="77777777" w:rsidR="007C30A1" w:rsidRDefault="007C30A1" w:rsidP="00112A0D">
      <w:pPr>
        <w:rPr>
          <w:b/>
        </w:rPr>
      </w:pPr>
    </w:p>
    <w:p w14:paraId="185E717A" w14:textId="77777777" w:rsidR="007C30A1" w:rsidRDefault="007C30A1" w:rsidP="00112A0D">
      <w:pPr>
        <w:rPr>
          <w:b/>
        </w:rPr>
      </w:pPr>
      <w:r w:rsidRPr="007C30A1">
        <w:rPr>
          <w:rFonts w:hint="eastAsia"/>
          <w:b/>
        </w:rPr>
        <w:t>第</w:t>
      </w:r>
      <w:r>
        <w:rPr>
          <w:rFonts w:hint="eastAsia"/>
          <w:b/>
        </w:rPr>
        <w:t>C</w:t>
      </w:r>
      <w:r w:rsidRPr="007C30A1">
        <w:rPr>
          <w:rFonts w:hint="eastAsia"/>
          <w:b/>
        </w:rPr>
        <w:t>款</w:t>
      </w:r>
      <w:r>
        <w:rPr>
          <w:rFonts w:hint="eastAsia"/>
          <w:b/>
        </w:rPr>
        <w:t xml:space="preserve">　医薬品に関する措置</w:t>
      </w:r>
    </w:p>
    <w:p w14:paraId="7A34057F" w14:textId="77777777" w:rsidR="007C30A1" w:rsidRDefault="007C30A1" w:rsidP="00112A0D">
      <w:pPr>
        <w:rPr>
          <w:b/>
        </w:rPr>
      </w:pPr>
    </w:p>
    <w:p w14:paraId="38C3D179" w14:textId="77777777" w:rsidR="007C30A1" w:rsidRDefault="007C30A1" w:rsidP="00112A0D">
      <w:pPr>
        <w:rPr>
          <w:b/>
        </w:rPr>
      </w:pPr>
      <w:r>
        <w:rPr>
          <w:rFonts w:hint="eastAsia"/>
          <w:b/>
        </w:rPr>
        <w:t>第</w:t>
      </w:r>
      <w:r>
        <w:rPr>
          <w:rFonts w:hint="eastAsia"/>
          <w:b/>
        </w:rPr>
        <w:t>18.48</w:t>
      </w:r>
      <w:r>
        <w:rPr>
          <w:rFonts w:hint="eastAsia"/>
          <w:b/>
        </w:rPr>
        <w:t xml:space="preserve">条　</w:t>
      </w:r>
      <w:r w:rsidR="00B72A1F">
        <w:rPr>
          <w:rFonts w:hint="eastAsia"/>
          <w:b/>
        </w:rPr>
        <w:t>不合理な短縮</w:t>
      </w:r>
      <w:r w:rsidR="00CB040E">
        <w:rPr>
          <w:rFonts w:hint="eastAsia"/>
          <w:b/>
        </w:rPr>
        <w:t>のための</w:t>
      </w:r>
      <w:r w:rsidR="00B72A1F">
        <w:rPr>
          <w:rFonts w:hint="eastAsia"/>
          <w:b/>
        </w:rPr>
        <w:t>特許</w:t>
      </w:r>
      <w:r w:rsidR="00490AA3">
        <w:rPr>
          <w:rFonts w:hint="eastAsia"/>
          <w:b/>
        </w:rPr>
        <w:t>期間の</w:t>
      </w:r>
      <w:r w:rsidR="00B72A1F">
        <w:rPr>
          <w:rFonts w:hint="eastAsia"/>
          <w:b/>
        </w:rPr>
        <w:t>調整</w:t>
      </w:r>
    </w:p>
    <w:p w14:paraId="4B47DE02" w14:textId="77777777" w:rsidR="004A5304" w:rsidRDefault="004A5304" w:rsidP="00112A0D">
      <w:pPr>
        <w:rPr>
          <w:b/>
        </w:rPr>
      </w:pPr>
    </w:p>
    <w:p w14:paraId="1F1CBE68" w14:textId="77777777" w:rsidR="004A5304" w:rsidRDefault="004A5304" w:rsidP="00112A0D">
      <w:r>
        <w:rPr>
          <w:rFonts w:hint="eastAsia"/>
        </w:rPr>
        <w:t xml:space="preserve">1.     </w:t>
      </w:r>
      <w:r>
        <w:rPr>
          <w:rFonts w:hint="eastAsia"/>
        </w:rPr>
        <w:t>各締約国は、最善を尽くして、</w:t>
      </w:r>
      <w:r w:rsidR="00FA4F86">
        <w:rPr>
          <w:rFonts w:hint="eastAsia"/>
        </w:rPr>
        <w:t>不合理又は不必要な遅延を避ける点で、有効に適時に医薬品の販売承認のための申請を進めなければならない。</w:t>
      </w:r>
    </w:p>
    <w:p w14:paraId="2CC160CB" w14:textId="77777777" w:rsidR="00F17A08" w:rsidRDefault="00F17A08" w:rsidP="00112A0D"/>
    <w:p w14:paraId="11AB0A64" w14:textId="77777777" w:rsidR="004B1571" w:rsidRDefault="00F17A08" w:rsidP="00112A0D">
      <w:r>
        <w:rPr>
          <w:rFonts w:hint="eastAsia"/>
        </w:rPr>
        <w:t xml:space="preserve">2.     </w:t>
      </w:r>
      <w:r>
        <w:rPr>
          <w:rFonts w:hint="eastAsia"/>
        </w:rPr>
        <w:t>特許権の対象となる医薬品</w:t>
      </w:r>
      <w:r w:rsidR="00392F37">
        <w:rPr>
          <w:rStyle w:val="aa"/>
        </w:rPr>
        <w:footnoteReference w:id="16"/>
      </w:r>
      <w:r>
        <w:rPr>
          <w:rFonts w:hint="eastAsia"/>
        </w:rPr>
        <w:t>に関し、各締約国は、特許期間の調整</w:t>
      </w:r>
      <w:r w:rsidR="00AB463B">
        <w:rPr>
          <w:rStyle w:val="aa"/>
        </w:rPr>
        <w:footnoteReference w:id="17"/>
      </w:r>
      <w:r>
        <w:rPr>
          <w:rFonts w:hint="eastAsia"/>
        </w:rPr>
        <w:t>を利用して、</w:t>
      </w:r>
      <w:r w:rsidR="00141F91">
        <w:rPr>
          <w:rFonts w:hint="eastAsia"/>
        </w:rPr>
        <w:t>販売承認のプロセス</w:t>
      </w:r>
      <w:r w:rsidR="00CB040E">
        <w:rPr>
          <w:rFonts w:hint="eastAsia"/>
        </w:rPr>
        <w:t>の結果、有効な特許期間が不合理に短縮されることに関し、特許権者に埋め合わせをしなければならない</w:t>
      </w:r>
      <w:r w:rsidR="004B1571">
        <w:rPr>
          <w:rFonts w:hint="eastAsia"/>
        </w:rPr>
        <w:t>。</w:t>
      </w:r>
      <w:r w:rsidR="00531E34">
        <w:rPr>
          <w:rStyle w:val="aa"/>
        </w:rPr>
        <w:footnoteReference w:id="18"/>
      </w:r>
      <w:r w:rsidR="00531E34">
        <w:rPr>
          <w:rFonts w:hint="eastAsia"/>
        </w:rPr>
        <w:t xml:space="preserve"> </w:t>
      </w:r>
      <w:r w:rsidR="00531E34">
        <w:rPr>
          <w:rStyle w:val="aa"/>
        </w:rPr>
        <w:footnoteReference w:id="19"/>
      </w:r>
    </w:p>
    <w:p w14:paraId="69BA4C1B" w14:textId="77777777" w:rsidR="004B1571" w:rsidRDefault="004B1571" w:rsidP="00112A0D">
      <w:r>
        <w:rPr>
          <w:rFonts w:hint="eastAsia"/>
        </w:rPr>
        <w:lastRenderedPageBreak/>
        <w:t xml:space="preserve">3.     </w:t>
      </w:r>
      <w:r>
        <w:rPr>
          <w:rFonts w:hint="eastAsia"/>
        </w:rPr>
        <w:t>厳密には、</w:t>
      </w:r>
      <w:r w:rsidR="005D1C47">
        <w:rPr>
          <w:rFonts w:hint="eastAsia"/>
        </w:rPr>
        <w:t>本条の義務を果たす際に、各締約国は、条件及び制限を定めなければならない。但し、</w:t>
      </w:r>
      <w:r w:rsidR="00CB040E">
        <w:rPr>
          <w:rFonts w:hint="eastAsia"/>
        </w:rPr>
        <w:t>当該</w:t>
      </w:r>
      <w:r w:rsidR="00DD373C">
        <w:rPr>
          <w:rFonts w:hint="eastAsia"/>
        </w:rPr>
        <w:t>締約国は、</w:t>
      </w:r>
      <w:r w:rsidR="00CB040E">
        <w:rPr>
          <w:rFonts w:hint="eastAsia"/>
        </w:rPr>
        <w:t>引き続き</w:t>
      </w:r>
      <w:r w:rsidR="00DD373C">
        <w:rPr>
          <w:rFonts w:hint="eastAsia"/>
        </w:rPr>
        <w:t>本条を</w:t>
      </w:r>
      <w:r w:rsidR="00CB040E">
        <w:rPr>
          <w:rFonts w:hint="eastAsia"/>
        </w:rPr>
        <w:t>有効とするものとする</w:t>
      </w:r>
      <w:r w:rsidR="00DD373C">
        <w:rPr>
          <w:rFonts w:hint="eastAsia"/>
        </w:rPr>
        <w:t>。</w:t>
      </w:r>
    </w:p>
    <w:p w14:paraId="2B06A757" w14:textId="77777777" w:rsidR="007E2B61" w:rsidRDefault="007E2B61" w:rsidP="00112A0D"/>
    <w:p w14:paraId="394E6DED" w14:textId="77777777" w:rsidR="007E2B61" w:rsidRDefault="007E2B61" w:rsidP="00112A0D">
      <w:r>
        <w:rPr>
          <w:rFonts w:hint="eastAsia"/>
        </w:rPr>
        <w:t xml:space="preserve">4.     </w:t>
      </w:r>
      <w:r w:rsidR="00C232DF">
        <w:rPr>
          <w:rFonts w:hint="eastAsia"/>
        </w:rPr>
        <w:t>有効な特許期間の不合理な短縮を避けるために、締約国は、販売承認申請の進行を促進する</w:t>
      </w:r>
      <w:r w:rsidR="003D3A06">
        <w:rPr>
          <w:rFonts w:hint="eastAsia"/>
        </w:rPr>
        <w:t>手続きを採用し</w:t>
      </w:r>
      <w:r w:rsidR="00A2662D">
        <w:rPr>
          <w:rFonts w:hint="eastAsia"/>
        </w:rPr>
        <w:t>、又は</w:t>
      </w:r>
      <w:r w:rsidR="003D3A06">
        <w:rPr>
          <w:rFonts w:hint="eastAsia"/>
        </w:rPr>
        <w:t>維持することができる。</w:t>
      </w:r>
    </w:p>
    <w:p w14:paraId="10DBF537" w14:textId="77777777" w:rsidR="003D3A06" w:rsidRDefault="003D3A06" w:rsidP="00112A0D"/>
    <w:p w14:paraId="615B09D5" w14:textId="77777777" w:rsidR="00B72A1F" w:rsidRDefault="00B72A1F" w:rsidP="00112A0D">
      <w:pPr>
        <w:rPr>
          <w:b/>
        </w:rPr>
      </w:pPr>
      <w:r>
        <w:rPr>
          <w:rFonts w:hint="eastAsia"/>
          <w:b/>
        </w:rPr>
        <w:t>第</w:t>
      </w:r>
      <w:r>
        <w:rPr>
          <w:rFonts w:hint="eastAsia"/>
          <w:b/>
        </w:rPr>
        <w:t>18.49</w:t>
      </w:r>
      <w:r>
        <w:rPr>
          <w:rFonts w:hint="eastAsia"/>
          <w:b/>
        </w:rPr>
        <w:t>条　規制</w:t>
      </w:r>
      <w:r w:rsidR="00490AA3">
        <w:rPr>
          <w:rFonts w:hint="eastAsia"/>
          <w:b/>
        </w:rPr>
        <w:t>上</w:t>
      </w:r>
      <w:r>
        <w:rPr>
          <w:rFonts w:hint="eastAsia"/>
          <w:b/>
        </w:rPr>
        <w:t>の</w:t>
      </w:r>
      <w:r w:rsidR="00490AA3">
        <w:rPr>
          <w:rFonts w:hint="eastAsia"/>
          <w:b/>
        </w:rPr>
        <w:t>審査に関する</w:t>
      </w:r>
      <w:r>
        <w:rPr>
          <w:rFonts w:hint="eastAsia"/>
          <w:b/>
        </w:rPr>
        <w:t>例外</w:t>
      </w:r>
    </w:p>
    <w:p w14:paraId="7C951BD3" w14:textId="77777777" w:rsidR="003D3A06" w:rsidRDefault="003D3A06" w:rsidP="00112A0D">
      <w:pPr>
        <w:rPr>
          <w:b/>
        </w:rPr>
      </w:pPr>
    </w:p>
    <w:p w14:paraId="7F59599F" w14:textId="77777777" w:rsidR="003D3A06" w:rsidRPr="003D3A06" w:rsidRDefault="003D3A06" w:rsidP="00112A0D">
      <w:r>
        <w:rPr>
          <w:rFonts w:hint="eastAsia"/>
        </w:rPr>
        <w:t xml:space="preserve">       </w:t>
      </w:r>
      <w:r>
        <w:rPr>
          <w:rFonts w:hint="eastAsia"/>
        </w:rPr>
        <w:t>第</w:t>
      </w:r>
      <w:r>
        <w:rPr>
          <w:rFonts w:hint="eastAsia"/>
        </w:rPr>
        <w:t>18.40</w:t>
      </w:r>
      <w:r>
        <w:rPr>
          <w:rFonts w:hint="eastAsia"/>
        </w:rPr>
        <w:t>条（</w:t>
      </w:r>
      <w:r w:rsidR="00CA36C5">
        <w:rPr>
          <w:rFonts w:hint="eastAsia"/>
        </w:rPr>
        <w:t>例外）の範囲に影響を及ぼさず、第</w:t>
      </w:r>
      <w:r w:rsidR="00CA36C5">
        <w:rPr>
          <w:rFonts w:hint="eastAsia"/>
        </w:rPr>
        <w:t>18.40</w:t>
      </w:r>
      <w:r w:rsidR="00CA36C5">
        <w:rPr>
          <w:rFonts w:hint="eastAsia"/>
        </w:rPr>
        <w:t>条に</w:t>
      </w:r>
      <w:r w:rsidR="00CB040E">
        <w:rPr>
          <w:rFonts w:hint="eastAsia"/>
        </w:rPr>
        <w:t>合致する</w:t>
      </w:r>
      <w:r w:rsidR="00CA36C5">
        <w:rPr>
          <w:rFonts w:hint="eastAsia"/>
        </w:rPr>
        <w:t>ように、</w:t>
      </w:r>
      <w:r w:rsidR="00A2662D">
        <w:rPr>
          <w:rFonts w:hint="eastAsia"/>
        </w:rPr>
        <w:t>各締約国は、医薬品のための規制上の審査に関する例外</w:t>
      </w:r>
      <w:r w:rsidR="00531E34">
        <w:rPr>
          <w:rStyle w:val="aa"/>
        </w:rPr>
        <w:footnoteReference w:id="20"/>
      </w:r>
      <w:r w:rsidR="00A2662D">
        <w:rPr>
          <w:rFonts w:hint="eastAsia"/>
        </w:rPr>
        <w:t>を採用し、又は維持しなければならない。</w:t>
      </w:r>
    </w:p>
    <w:p w14:paraId="21D01F3A" w14:textId="77777777" w:rsidR="00B72A1F" w:rsidRDefault="00B72A1F" w:rsidP="00112A0D">
      <w:pPr>
        <w:rPr>
          <w:b/>
        </w:rPr>
      </w:pPr>
    </w:p>
    <w:p w14:paraId="484AAE4A" w14:textId="77777777" w:rsidR="00B72A1F" w:rsidRDefault="00B72A1F" w:rsidP="00112A0D">
      <w:pPr>
        <w:rPr>
          <w:b/>
        </w:rPr>
      </w:pPr>
      <w:r>
        <w:rPr>
          <w:rFonts w:hint="eastAsia"/>
          <w:b/>
        </w:rPr>
        <w:t>第</w:t>
      </w:r>
      <w:r>
        <w:rPr>
          <w:rFonts w:hint="eastAsia"/>
          <w:b/>
        </w:rPr>
        <w:t>18.50</w:t>
      </w:r>
      <w:r>
        <w:rPr>
          <w:rFonts w:hint="eastAsia"/>
          <w:b/>
        </w:rPr>
        <w:t xml:space="preserve">条　</w:t>
      </w:r>
      <w:r w:rsidR="006A78DE">
        <w:rPr>
          <w:rFonts w:hint="eastAsia"/>
          <w:b/>
        </w:rPr>
        <w:t>非開示</w:t>
      </w:r>
      <w:r w:rsidR="00490AA3">
        <w:rPr>
          <w:rFonts w:hint="eastAsia"/>
          <w:b/>
        </w:rPr>
        <w:t>試験データ</w:t>
      </w:r>
      <w:r w:rsidR="006A78DE">
        <w:rPr>
          <w:rFonts w:hint="eastAsia"/>
          <w:b/>
        </w:rPr>
        <w:t>その他のデータの保護</w:t>
      </w:r>
      <w:r w:rsidR="00F015B1">
        <w:rPr>
          <w:rStyle w:val="aa"/>
          <w:b/>
        </w:rPr>
        <w:footnoteReference w:id="21"/>
      </w:r>
    </w:p>
    <w:p w14:paraId="740D2BE4" w14:textId="77777777" w:rsidR="001369E1" w:rsidRDefault="001369E1" w:rsidP="00112A0D">
      <w:pPr>
        <w:rPr>
          <w:b/>
        </w:rPr>
      </w:pPr>
    </w:p>
    <w:p w14:paraId="3859AFF5" w14:textId="77777777" w:rsidR="001369E1" w:rsidRDefault="001369E1" w:rsidP="00112A0D">
      <w:pPr>
        <w:ind w:left="1558" w:hangingChars="742" w:hanging="1558"/>
      </w:pPr>
      <w:r>
        <w:rPr>
          <w:rFonts w:hint="eastAsia"/>
        </w:rPr>
        <w:t xml:space="preserve">1.     (a)     </w:t>
      </w:r>
      <w:r>
        <w:rPr>
          <w:rFonts w:hint="eastAsia"/>
        </w:rPr>
        <w:t>締約国が、</w:t>
      </w:r>
      <w:r w:rsidR="003D5799">
        <w:rPr>
          <w:rFonts w:hint="eastAsia"/>
        </w:rPr>
        <w:t>新規の医薬品のための販売承認を</w:t>
      </w:r>
      <w:r w:rsidR="005319D0">
        <w:rPr>
          <w:rFonts w:hint="eastAsia"/>
        </w:rPr>
        <w:t>付与</w:t>
      </w:r>
      <w:r w:rsidR="003D5799">
        <w:rPr>
          <w:rFonts w:hint="eastAsia"/>
        </w:rPr>
        <w:t>するための条件として、当該</w:t>
      </w:r>
      <w:r w:rsidR="00F015B1">
        <w:rPr>
          <w:rFonts w:hint="eastAsia"/>
        </w:rPr>
        <w:t>製品</w:t>
      </w:r>
      <w:r w:rsidR="003D5799">
        <w:rPr>
          <w:rFonts w:hint="eastAsia"/>
        </w:rPr>
        <w:t>の安全性及び有効性</w:t>
      </w:r>
      <w:r w:rsidR="00F015B1">
        <w:rPr>
          <w:rStyle w:val="aa"/>
        </w:rPr>
        <w:footnoteReference w:id="22"/>
      </w:r>
      <w:r w:rsidR="003D5799">
        <w:rPr>
          <w:rFonts w:hint="eastAsia"/>
        </w:rPr>
        <w:t>に関する非開示の</w:t>
      </w:r>
      <w:r w:rsidR="006A449B">
        <w:rPr>
          <w:rFonts w:hint="eastAsia"/>
        </w:rPr>
        <w:t>試験データ又はその他のデータの提出を要請する場合、当該締約国は、</w:t>
      </w:r>
      <w:r w:rsidR="008365C3" w:rsidRPr="008365C3">
        <w:rPr>
          <w:rFonts w:hint="eastAsia"/>
        </w:rPr>
        <w:t>自国</w:t>
      </w:r>
      <w:r w:rsidR="005F376A" w:rsidRPr="008365C3">
        <w:rPr>
          <w:rFonts w:hint="eastAsia"/>
        </w:rPr>
        <w:t>の領域内で当該新規の医薬品の販売承認日から少なくとも</w:t>
      </w:r>
      <w:r w:rsidR="005F376A" w:rsidRPr="008365C3">
        <w:rPr>
          <w:rFonts w:hint="eastAsia"/>
        </w:rPr>
        <w:t>5</w:t>
      </w:r>
      <w:r w:rsidR="005F376A" w:rsidRPr="008365C3">
        <w:rPr>
          <w:rFonts w:hint="eastAsia"/>
        </w:rPr>
        <w:t>年間</w:t>
      </w:r>
      <w:r w:rsidR="000A736E">
        <w:rPr>
          <w:rStyle w:val="aa"/>
        </w:rPr>
        <w:footnoteReference w:id="23"/>
      </w:r>
      <w:r w:rsidR="005F376A" w:rsidRPr="000A736E">
        <w:rPr>
          <w:rFonts w:hint="eastAsia"/>
        </w:rPr>
        <w:t>、</w:t>
      </w:r>
      <w:r w:rsidR="006A449B">
        <w:rPr>
          <w:rFonts w:hint="eastAsia"/>
        </w:rPr>
        <w:t>従前に当該情報を提出した者の</w:t>
      </w:r>
      <w:r w:rsidR="005319D0">
        <w:rPr>
          <w:rFonts w:hint="eastAsia"/>
        </w:rPr>
        <w:t>承諾なしに</w:t>
      </w:r>
      <w:r w:rsidR="006A449B">
        <w:rPr>
          <w:rFonts w:hint="eastAsia"/>
        </w:rPr>
        <w:t>、</w:t>
      </w:r>
      <w:r w:rsidR="004E3311">
        <w:rPr>
          <w:rFonts w:hint="eastAsia"/>
        </w:rPr>
        <w:t>次の</w:t>
      </w:r>
      <w:r w:rsidR="005319D0">
        <w:rPr>
          <w:rFonts w:hint="eastAsia"/>
        </w:rPr>
        <w:t>事柄</w:t>
      </w:r>
      <w:r w:rsidR="004E3311">
        <w:rPr>
          <w:rFonts w:hint="eastAsia"/>
        </w:rPr>
        <w:t>に基づいて</w:t>
      </w:r>
      <w:r w:rsidR="005319D0">
        <w:rPr>
          <w:rFonts w:hint="eastAsia"/>
        </w:rPr>
        <w:t>同等の</w:t>
      </w:r>
      <w:r w:rsidR="004E3311">
        <w:rPr>
          <w:rFonts w:hint="eastAsia"/>
        </w:rPr>
        <w:t>製品又は類似の</w:t>
      </w:r>
      <w:r w:rsidR="005319D0">
        <w:rPr>
          <w:rStyle w:val="aa"/>
        </w:rPr>
        <w:footnoteReference w:id="24"/>
      </w:r>
      <w:r w:rsidR="004E3311">
        <w:rPr>
          <w:rFonts w:hint="eastAsia"/>
        </w:rPr>
        <w:t>製品を販売することを第三者に許可してはならない。</w:t>
      </w:r>
    </w:p>
    <w:p w14:paraId="63C013A8" w14:textId="77777777" w:rsidR="006A57E8" w:rsidRDefault="006A57E8" w:rsidP="00112A0D">
      <w:pPr>
        <w:ind w:left="1558" w:hangingChars="742" w:hanging="1558"/>
      </w:pPr>
    </w:p>
    <w:p w14:paraId="5ABF0313" w14:textId="77777777" w:rsidR="006A57E8" w:rsidRDefault="006A57E8" w:rsidP="00112A0D">
      <w:pPr>
        <w:ind w:left="1560"/>
      </w:pPr>
      <w:r>
        <w:rPr>
          <w:rFonts w:hint="eastAsia"/>
        </w:rPr>
        <w:t>(</w:t>
      </w:r>
      <w:r>
        <w:rPr>
          <w:rFonts w:hint="eastAsia"/>
        </w:rPr>
        <w:t>ⅰ</w:t>
      </w:r>
      <w:r>
        <w:rPr>
          <w:rFonts w:hint="eastAsia"/>
        </w:rPr>
        <w:t xml:space="preserve">)     </w:t>
      </w:r>
      <w:r>
        <w:rPr>
          <w:rFonts w:hint="eastAsia"/>
        </w:rPr>
        <w:t>当該情報、又は、</w:t>
      </w:r>
    </w:p>
    <w:p w14:paraId="6CE5D115" w14:textId="77777777" w:rsidR="006A57E8" w:rsidRDefault="006A57E8" w:rsidP="00112A0D">
      <w:pPr>
        <w:ind w:left="1560"/>
      </w:pPr>
    </w:p>
    <w:p w14:paraId="47930305" w14:textId="77777777" w:rsidR="006A57E8" w:rsidRDefault="006A57E8" w:rsidP="00112A0D">
      <w:pPr>
        <w:ind w:left="1560"/>
      </w:pPr>
      <w:r>
        <w:rPr>
          <w:rFonts w:hint="eastAsia"/>
        </w:rPr>
        <w:t>(</w:t>
      </w:r>
      <w:r>
        <w:rPr>
          <w:rFonts w:hint="eastAsia"/>
        </w:rPr>
        <w:t>ⅱ</w:t>
      </w:r>
      <w:r>
        <w:rPr>
          <w:rFonts w:hint="eastAsia"/>
        </w:rPr>
        <w:t xml:space="preserve">)     </w:t>
      </w:r>
      <w:r>
        <w:rPr>
          <w:rFonts w:hint="eastAsia"/>
        </w:rPr>
        <w:t>当該情報を提出した者に</w:t>
      </w:r>
      <w:r w:rsidR="005319D0">
        <w:rPr>
          <w:rFonts w:hint="eastAsia"/>
        </w:rPr>
        <w:t>付与</w:t>
      </w:r>
      <w:r>
        <w:rPr>
          <w:rFonts w:hint="eastAsia"/>
        </w:rPr>
        <w:t>された</w:t>
      </w:r>
      <w:r w:rsidR="00E200F7">
        <w:rPr>
          <w:rFonts w:hint="eastAsia"/>
        </w:rPr>
        <w:t>販売承認</w:t>
      </w:r>
    </w:p>
    <w:p w14:paraId="6DE7C256" w14:textId="77777777" w:rsidR="000C6A82" w:rsidRDefault="000C6A82" w:rsidP="00112A0D"/>
    <w:p w14:paraId="6F17502E" w14:textId="77777777" w:rsidR="000C6A82" w:rsidRDefault="000C6A82" w:rsidP="00112A0D">
      <w:pPr>
        <w:ind w:left="1558" w:hangingChars="742" w:hanging="1558"/>
      </w:pPr>
      <w:r>
        <w:rPr>
          <w:rFonts w:hint="eastAsia"/>
        </w:rPr>
        <w:t xml:space="preserve">       (b)     </w:t>
      </w:r>
      <w:r>
        <w:rPr>
          <w:rFonts w:hint="eastAsia"/>
        </w:rPr>
        <w:t>締約国が、新規の医薬品のための販売承認を</w:t>
      </w:r>
      <w:r w:rsidR="005319D0">
        <w:rPr>
          <w:rFonts w:hint="eastAsia"/>
        </w:rPr>
        <w:t>付与</w:t>
      </w:r>
      <w:r>
        <w:rPr>
          <w:rFonts w:hint="eastAsia"/>
        </w:rPr>
        <w:t>するための条件として、</w:t>
      </w:r>
      <w:r w:rsidR="00A900BB">
        <w:rPr>
          <w:rFonts w:hint="eastAsia"/>
        </w:rPr>
        <w:t>別の領域内で当該医薬品の従前の販売承認の証拠の提出を許可する場合、当該締約国は、当該医薬品</w:t>
      </w:r>
      <w:r w:rsidR="004F4915">
        <w:rPr>
          <w:rFonts w:hint="eastAsia"/>
        </w:rPr>
        <w:t>の安全性及び有効性に関して当該情報を従前に</w:t>
      </w:r>
      <w:r w:rsidR="004F4915">
        <w:rPr>
          <w:rFonts w:hint="eastAsia"/>
        </w:rPr>
        <w:lastRenderedPageBreak/>
        <w:t>提出した者の同意なしに、</w:t>
      </w:r>
      <w:r w:rsidR="00C24DF1">
        <w:rPr>
          <w:rFonts w:hint="eastAsia"/>
        </w:rPr>
        <w:t>当該締約国の領域内で新規の医薬品の販売承認日から少なくとも</w:t>
      </w:r>
      <w:r w:rsidR="00C24DF1">
        <w:rPr>
          <w:rFonts w:hint="eastAsia"/>
        </w:rPr>
        <w:t>5</w:t>
      </w:r>
      <w:r w:rsidR="00C24DF1">
        <w:rPr>
          <w:rFonts w:hint="eastAsia"/>
        </w:rPr>
        <w:t>年間、当該別の領域で従前の販売承認に関する</w:t>
      </w:r>
      <w:r w:rsidR="006276FC">
        <w:rPr>
          <w:rFonts w:hint="eastAsia"/>
        </w:rPr>
        <w:t>証拠に基づく同じ医薬品又は類似の医薬品を販売することを第三者に許可してはならない。</w:t>
      </w:r>
      <w:r w:rsidR="001F2308">
        <w:rPr>
          <w:rStyle w:val="aa"/>
        </w:rPr>
        <w:footnoteReference w:id="25"/>
      </w:r>
    </w:p>
    <w:p w14:paraId="6C6BE720" w14:textId="77777777" w:rsidR="009C2B39" w:rsidRDefault="009C2B39" w:rsidP="00112A0D">
      <w:pPr>
        <w:ind w:left="1558" w:hangingChars="742" w:hanging="1558"/>
      </w:pPr>
    </w:p>
    <w:p w14:paraId="028E9E8E" w14:textId="77777777" w:rsidR="009C2B39" w:rsidRDefault="009C2B39" w:rsidP="00112A0D">
      <w:pPr>
        <w:ind w:left="1558" w:hangingChars="742" w:hanging="1558"/>
      </w:pPr>
      <w:r>
        <w:rPr>
          <w:rFonts w:hint="eastAsia"/>
        </w:rPr>
        <w:t xml:space="preserve">2.     </w:t>
      </w:r>
      <w:r>
        <w:rPr>
          <w:rFonts w:hint="eastAsia"/>
        </w:rPr>
        <w:t>各締約国は、</w:t>
      </w:r>
      <w:r w:rsidR="001F2308">
        <w:rPr>
          <w:rStyle w:val="aa"/>
        </w:rPr>
        <w:footnoteReference w:id="26"/>
      </w:r>
    </w:p>
    <w:p w14:paraId="34655EAA" w14:textId="77777777" w:rsidR="009C2B39" w:rsidRDefault="009C2B39" w:rsidP="00112A0D">
      <w:pPr>
        <w:ind w:left="1558" w:hangingChars="742" w:hanging="1558"/>
      </w:pPr>
    </w:p>
    <w:p w14:paraId="2FED78A0" w14:textId="77777777" w:rsidR="004E3311" w:rsidRDefault="009C2B39" w:rsidP="00112A0D">
      <w:pPr>
        <w:ind w:left="709"/>
      </w:pPr>
      <w:r>
        <w:t xml:space="preserve">(a)     </w:t>
      </w:r>
      <w:r w:rsidR="00735FCD">
        <w:rPr>
          <w:rFonts w:hint="eastAsia"/>
        </w:rPr>
        <w:t>新規の適用、新規の処方又は新規の投与方法に及ぶ</w:t>
      </w:r>
      <w:r w:rsidR="009169B5">
        <w:rPr>
          <w:rFonts w:hint="eastAsia"/>
        </w:rPr>
        <w:t>従前に承認された医薬品の販売承認の支持に要求され</w:t>
      </w:r>
      <w:r w:rsidR="005319D0">
        <w:rPr>
          <w:rFonts w:hint="eastAsia"/>
        </w:rPr>
        <w:t>て</w:t>
      </w:r>
      <w:r w:rsidR="004B15D4">
        <w:rPr>
          <w:rFonts w:hint="eastAsia"/>
        </w:rPr>
        <w:t>提出</w:t>
      </w:r>
      <w:r w:rsidR="005319D0">
        <w:rPr>
          <w:rFonts w:hint="eastAsia"/>
        </w:rPr>
        <w:t>した</w:t>
      </w:r>
      <w:r w:rsidR="004B15D4">
        <w:rPr>
          <w:rFonts w:hint="eastAsia"/>
        </w:rPr>
        <w:t>新規の医療情報に関しては、少なくとも</w:t>
      </w:r>
      <w:r w:rsidR="004B15D4">
        <w:rPr>
          <w:rFonts w:hint="eastAsia"/>
        </w:rPr>
        <w:t>3</w:t>
      </w:r>
      <w:r w:rsidR="004B15D4">
        <w:rPr>
          <w:rFonts w:hint="eastAsia"/>
        </w:rPr>
        <w:t>年間の期間、</w:t>
      </w:r>
      <w:r w:rsidR="004660A6">
        <w:rPr>
          <w:rFonts w:hint="eastAsia"/>
        </w:rPr>
        <w:t>第</w:t>
      </w:r>
      <w:r w:rsidR="004660A6">
        <w:rPr>
          <w:rFonts w:hint="eastAsia"/>
        </w:rPr>
        <w:t>1</w:t>
      </w:r>
      <w:r w:rsidR="004660A6">
        <w:rPr>
          <w:rFonts w:hint="eastAsia"/>
        </w:rPr>
        <w:t>項を準用しなければならず、又は、</w:t>
      </w:r>
    </w:p>
    <w:p w14:paraId="44396CF0" w14:textId="77777777" w:rsidR="00506254" w:rsidRDefault="00506254" w:rsidP="00112A0D">
      <w:pPr>
        <w:ind w:left="709"/>
      </w:pPr>
    </w:p>
    <w:p w14:paraId="6A1512B8" w14:textId="77777777" w:rsidR="00506254" w:rsidRDefault="00506254" w:rsidP="00112A0D">
      <w:pPr>
        <w:ind w:left="709"/>
      </w:pPr>
      <w:r>
        <w:rPr>
          <w:rFonts w:hint="eastAsia"/>
        </w:rPr>
        <w:t xml:space="preserve">(b)     </w:t>
      </w:r>
      <w:r>
        <w:rPr>
          <w:rFonts w:hint="eastAsia"/>
        </w:rPr>
        <w:t>当該締約国で従前に承認されていなかった</w:t>
      </w:r>
      <w:r w:rsidR="000846BE">
        <w:rPr>
          <w:rFonts w:hint="eastAsia"/>
        </w:rPr>
        <w:t>化学成分を含む新規の医薬品に対しては、少なくとも</w:t>
      </w:r>
      <w:r w:rsidR="000846BE">
        <w:rPr>
          <w:rFonts w:hint="eastAsia"/>
        </w:rPr>
        <w:t>5</w:t>
      </w:r>
      <w:r w:rsidR="000846BE">
        <w:rPr>
          <w:rFonts w:hint="eastAsia"/>
        </w:rPr>
        <w:t>年間の期間、第</w:t>
      </w:r>
      <w:r w:rsidR="000846BE">
        <w:rPr>
          <w:rFonts w:hint="eastAsia"/>
        </w:rPr>
        <w:t>1</w:t>
      </w:r>
      <w:r w:rsidR="000846BE">
        <w:rPr>
          <w:rFonts w:hint="eastAsia"/>
        </w:rPr>
        <w:t>項</w:t>
      </w:r>
      <w:r w:rsidR="005319D0">
        <w:rPr>
          <w:rFonts w:hint="eastAsia"/>
        </w:rPr>
        <w:t>を</w:t>
      </w:r>
      <w:r w:rsidR="000846BE">
        <w:rPr>
          <w:rFonts w:hint="eastAsia"/>
        </w:rPr>
        <w:t>準用</w:t>
      </w:r>
      <w:r w:rsidR="005319D0">
        <w:rPr>
          <w:rFonts w:hint="eastAsia"/>
        </w:rPr>
        <w:t>しなければならない。</w:t>
      </w:r>
      <w:r w:rsidR="001F2308">
        <w:rPr>
          <w:rStyle w:val="aa"/>
        </w:rPr>
        <w:footnoteReference w:id="27"/>
      </w:r>
    </w:p>
    <w:p w14:paraId="457C0D63" w14:textId="77777777" w:rsidR="000846BE" w:rsidRDefault="000846BE" w:rsidP="00112A0D"/>
    <w:p w14:paraId="431A620F" w14:textId="77777777" w:rsidR="00DF3858" w:rsidRDefault="00DF3858" w:rsidP="00112A0D">
      <w:r>
        <w:rPr>
          <w:rFonts w:hint="eastAsia"/>
        </w:rPr>
        <w:t xml:space="preserve">3.     </w:t>
      </w:r>
      <w:r>
        <w:rPr>
          <w:rFonts w:hint="eastAsia"/>
        </w:rPr>
        <w:t>第</w:t>
      </w:r>
      <w:r>
        <w:rPr>
          <w:rFonts w:hint="eastAsia"/>
        </w:rPr>
        <w:t>1</w:t>
      </w:r>
      <w:r>
        <w:rPr>
          <w:rFonts w:hint="eastAsia"/>
        </w:rPr>
        <w:t>項及び第</w:t>
      </w:r>
      <w:r>
        <w:rPr>
          <w:rFonts w:hint="eastAsia"/>
        </w:rPr>
        <w:t>2</w:t>
      </w:r>
      <w:r>
        <w:rPr>
          <w:rFonts w:hint="eastAsia"/>
        </w:rPr>
        <w:t>項並びに第</w:t>
      </w:r>
      <w:r>
        <w:rPr>
          <w:rFonts w:hint="eastAsia"/>
        </w:rPr>
        <w:t>18.52</w:t>
      </w:r>
      <w:r>
        <w:rPr>
          <w:rFonts w:hint="eastAsia"/>
        </w:rPr>
        <w:t>条（生物製剤）の規定に拘わらず、</w:t>
      </w:r>
      <w:r w:rsidR="00B92A26">
        <w:rPr>
          <w:rFonts w:hint="eastAsia"/>
        </w:rPr>
        <w:t>次の規定に従い、公衆衛生を守るため</w:t>
      </w:r>
      <w:r w:rsidR="005319D0">
        <w:rPr>
          <w:rFonts w:hint="eastAsia"/>
        </w:rPr>
        <w:t>の</w:t>
      </w:r>
      <w:r w:rsidR="00B92A26">
        <w:rPr>
          <w:rFonts w:hint="eastAsia"/>
        </w:rPr>
        <w:t>措置を講ずることができる。</w:t>
      </w:r>
    </w:p>
    <w:p w14:paraId="6630C425" w14:textId="77777777" w:rsidR="00B92A26" w:rsidRDefault="00B92A26" w:rsidP="00112A0D"/>
    <w:p w14:paraId="77E1B274" w14:textId="77777777" w:rsidR="00B92A26" w:rsidRDefault="00147696" w:rsidP="00112A0D">
      <w:pPr>
        <w:ind w:leftChars="337" w:left="708"/>
      </w:pPr>
      <w:r>
        <w:rPr>
          <w:rFonts w:hint="eastAsia"/>
        </w:rPr>
        <w:t xml:space="preserve">(a)     </w:t>
      </w:r>
      <w:r w:rsidRPr="008365C3">
        <w:rPr>
          <w:rFonts w:hint="eastAsia"/>
        </w:rPr>
        <w:t>TRIPS</w:t>
      </w:r>
      <w:r w:rsidR="008365C3">
        <w:rPr>
          <w:rFonts w:hint="eastAsia"/>
        </w:rPr>
        <w:t>協定と</w:t>
      </w:r>
      <w:r w:rsidRPr="008365C3">
        <w:rPr>
          <w:rFonts w:hint="eastAsia"/>
        </w:rPr>
        <w:t>公衆衛生に関する宣言</w:t>
      </w:r>
      <w:bookmarkStart w:id="0" w:name="_GoBack"/>
      <w:bookmarkEnd w:id="0"/>
      <w:r>
        <w:rPr>
          <w:rFonts w:hint="eastAsia"/>
        </w:rPr>
        <w:t>、</w:t>
      </w:r>
    </w:p>
    <w:p w14:paraId="28880560" w14:textId="77777777" w:rsidR="00147696" w:rsidRDefault="00147696" w:rsidP="00112A0D">
      <w:pPr>
        <w:ind w:leftChars="337" w:left="708"/>
      </w:pPr>
    </w:p>
    <w:p w14:paraId="054309D2" w14:textId="77777777" w:rsidR="00147696" w:rsidRDefault="00147696" w:rsidP="00112A0D">
      <w:pPr>
        <w:ind w:leftChars="337" w:left="1558" w:hangingChars="405" w:hanging="850"/>
      </w:pPr>
      <w:r>
        <w:rPr>
          <w:rFonts w:hint="eastAsia"/>
        </w:rPr>
        <w:t xml:space="preserve">(b)     </w:t>
      </w:r>
      <w:r w:rsidR="00BC1B3C" w:rsidRPr="00BC1B3C">
        <w:rPr>
          <w:rFonts w:hint="eastAsia"/>
        </w:rPr>
        <w:t>TRIPS</w:t>
      </w:r>
      <w:r w:rsidR="008365C3">
        <w:rPr>
          <w:rFonts w:hint="eastAsia"/>
        </w:rPr>
        <w:t>協定と</w:t>
      </w:r>
      <w:r w:rsidR="00BC1B3C" w:rsidRPr="00BC1B3C">
        <w:rPr>
          <w:rFonts w:hint="eastAsia"/>
        </w:rPr>
        <w:t>公衆衛生に関する宣言</w:t>
      </w:r>
      <w:r w:rsidR="00BC1B3C">
        <w:rPr>
          <w:rFonts w:hint="eastAsia"/>
        </w:rPr>
        <w:t>を実施</w:t>
      </w:r>
      <w:r w:rsidR="00A00458">
        <w:rPr>
          <w:rFonts w:hint="eastAsia"/>
        </w:rPr>
        <w:t>するために</w:t>
      </w:r>
      <w:r w:rsidR="00BC1B3C">
        <w:rPr>
          <w:rFonts w:hint="eastAsia"/>
        </w:rPr>
        <w:t>、</w:t>
      </w:r>
      <w:r w:rsidR="00233131">
        <w:rPr>
          <w:rFonts w:hint="eastAsia"/>
        </w:rPr>
        <w:t>WTO</w:t>
      </w:r>
      <w:r w:rsidR="00233131">
        <w:rPr>
          <w:rFonts w:hint="eastAsia"/>
        </w:rPr>
        <w:t>協定に従い、</w:t>
      </w:r>
      <w:r w:rsidR="00C836BD">
        <w:rPr>
          <w:rFonts w:hint="eastAsia"/>
        </w:rPr>
        <w:t>WTO</w:t>
      </w:r>
      <w:r w:rsidR="00C836BD">
        <w:rPr>
          <w:rFonts w:hint="eastAsia"/>
        </w:rPr>
        <w:t>加盟国により許諾され</w:t>
      </w:r>
      <w:r w:rsidR="00A00458">
        <w:rPr>
          <w:rFonts w:hint="eastAsia"/>
        </w:rPr>
        <w:t>締約国間で有効な</w:t>
      </w:r>
      <w:r w:rsidR="00C836BD">
        <w:rPr>
          <w:rFonts w:hint="eastAsia"/>
        </w:rPr>
        <w:t>TRIPS</w:t>
      </w:r>
      <w:r w:rsidR="00C836BD">
        <w:rPr>
          <w:rFonts w:hint="eastAsia"/>
        </w:rPr>
        <w:t>協定のいかなる規定の放棄、又は、</w:t>
      </w:r>
    </w:p>
    <w:p w14:paraId="77DC7DE0" w14:textId="77777777" w:rsidR="00175B8E" w:rsidRDefault="00175B8E" w:rsidP="00112A0D">
      <w:pPr>
        <w:ind w:leftChars="337" w:left="1558" w:hangingChars="405" w:hanging="850"/>
      </w:pPr>
    </w:p>
    <w:p w14:paraId="60D5EA3E" w14:textId="77777777" w:rsidR="00E24A10" w:rsidRPr="0055291D" w:rsidRDefault="00E24A10" w:rsidP="00112A0D">
      <w:pPr>
        <w:ind w:leftChars="337" w:left="1558" w:hangingChars="405" w:hanging="850"/>
      </w:pPr>
      <w:r>
        <w:rPr>
          <w:rFonts w:hint="eastAsia"/>
        </w:rPr>
        <w:t xml:space="preserve">(c)     </w:t>
      </w:r>
      <w:r>
        <w:rPr>
          <w:rFonts w:hint="eastAsia"/>
        </w:rPr>
        <w:t>締約国に関し</w:t>
      </w:r>
      <w:r w:rsidR="005319D0">
        <w:rPr>
          <w:rFonts w:hint="eastAsia"/>
        </w:rPr>
        <w:t>て有効で、</w:t>
      </w:r>
      <w:r w:rsidR="0055291D" w:rsidRPr="0055291D">
        <w:rPr>
          <w:rFonts w:hint="eastAsia"/>
        </w:rPr>
        <w:t>TRIPS</w:t>
      </w:r>
      <w:r w:rsidR="008365C3">
        <w:rPr>
          <w:rFonts w:hint="eastAsia"/>
        </w:rPr>
        <w:t>協定と</w:t>
      </w:r>
      <w:r w:rsidR="0055291D" w:rsidRPr="0055291D">
        <w:rPr>
          <w:rFonts w:hint="eastAsia"/>
        </w:rPr>
        <w:t>公衆衛生に関する宣言</w:t>
      </w:r>
      <w:r w:rsidR="0055291D">
        <w:rPr>
          <w:rFonts w:hint="eastAsia"/>
        </w:rPr>
        <w:t>を実施するための</w:t>
      </w:r>
      <w:r w:rsidR="0055291D">
        <w:rPr>
          <w:rFonts w:hint="eastAsia"/>
        </w:rPr>
        <w:t>TRIPS</w:t>
      </w:r>
      <w:r w:rsidR="0055291D">
        <w:rPr>
          <w:rFonts w:hint="eastAsia"/>
        </w:rPr>
        <w:t>協定の改定</w:t>
      </w:r>
    </w:p>
    <w:p w14:paraId="09882DB6" w14:textId="77777777" w:rsidR="006A78DE" w:rsidRDefault="006A78DE" w:rsidP="00112A0D">
      <w:pPr>
        <w:rPr>
          <w:b/>
        </w:rPr>
      </w:pPr>
    </w:p>
    <w:p w14:paraId="484E42C8" w14:textId="77777777" w:rsidR="006A78DE" w:rsidRDefault="006A78DE" w:rsidP="00112A0D">
      <w:pPr>
        <w:rPr>
          <w:b/>
        </w:rPr>
      </w:pPr>
      <w:r>
        <w:rPr>
          <w:rFonts w:hint="eastAsia"/>
          <w:b/>
        </w:rPr>
        <w:t>第</w:t>
      </w:r>
      <w:r>
        <w:rPr>
          <w:rFonts w:hint="eastAsia"/>
          <w:b/>
        </w:rPr>
        <w:t>18.51</w:t>
      </w:r>
      <w:r>
        <w:rPr>
          <w:rFonts w:hint="eastAsia"/>
          <w:b/>
        </w:rPr>
        <w:t>条　特定の医薬品の販売に関する措置</w:t>
      </w:r>
    </w:p>
    <w:p w14:paraId="7D64DE2D" w14:textId="77777777" w:rsidR="00E30758" w:rsidRDefault="00E30758" w:rsidP="00112A0D">
      <w:pPr>
        <w:rPr>
          <w:b/>
        </w:rPr>
      </w:pPr>
    </w:p>
    <w:p w14:paraId="21AC574A" w14:textId="77777777" w:rsidR="00E30758" w:rsidRDefault="00E30758" w:rsidP="00112A0D">
      <w:r>
        <w:rPr>
          <w:rFonts w:hint="eastAsia"/>
        </w:rPr>
        <w:t xml:space="preserve">1.     </w:t>
      </w:r>
      <w:r>
        <w:rPr>
          <w:rFonts w:hint="eastAsia"/>
        </w:rPr>
        <w:t>締約国が、医薬品の販売を承認する条件として、</w:t>
      </w:r>
      <w:r w:rsidR="00773582">
        <w:rPr>
          <w:rFonts w:hint="eastAsia"/>
        </w:rPr>
        <w:t>最初に安全性及び有効性の情報を提出した</w:t>
      </w:r>
      <w:r w:rsidR="002C1286">
        <w:rPr>
          <w:rFonts w:hint="eastAsia"/>
        </w:rPr>
        <w:t>者</w:t>
      </w:r>
      <w:r w:rsidR="00773582">
        <w:rPr>
          <w:rFonts w:hint="eastAsia"/>
        </w:rPr>
        <w:t>以外の</w:t>
      </w:r>
      <w:r w:rsidR="002C1286">
        <w:rPr>
          <w:rFonts w:hint="eastAsia"/>
        </w:rPr>
        <w:t>者</w:t>
      </w:r>
      <w:r w:rsidR="00773582">
        <w:rPr>
          <w:rFonts w:hint="eastAsia"/>
        </w:rPr>
        <w:t>に</w:t>
      </w:r>
      <w:r w:rsidR="00FF6F98">
        <w:rPr>
          <w:rFonts w:hint="eastAsia"/>
        </w:rPr>
        <w:t>、当該締約国による</w:t>
      </w:r>
      <w:r w:rsidR="00A22330">
        <w:rPr>
          <w:rFonts w:hint="eastAsia"/>
        </w:rPr>
        <w:t>又は別の領域内</w:t>
      </w:r>
      <w:r w:rsidR="00546539">
        <w:rPr>
          <w:rFonts w:hint="eastAsia"/>
        </w:rPr>
        <w:t>の</w:t>
      </w:r>
      <w:r w:rsidR="0014215A">
        <w:rPr>
          <w:rFonts w:hint="eastAsia"/>
        </w:rPr>
        <w:t>従前の販売承認</w:t>
      </w:r>
      <w:r w:rsidR="00546539">
        <w:rPr>
          <w:rFonts w:hint="eastAsia"/>
        </w:rPr>
        <w:t>の</w:t>
      </w:r>
      <w:r w:rsidR="0014215A">
        <w:rPr>
          <w:rFonts w:hint="eastAsia"/>
        </w:rPr>
        <w:t>証拠など、従前に承認された</w:t>
      </w:r>
      <w:r w:rsidR="00A22330">
        <w:rPr>
          <w:rFonts w:hint="eastAsia"/>
        </w:rPr>
        <w:t>製品の安全性及び有効性に関する証拠又は情報に</w:t>
      </w:r>
      <w:r w:rsidR="005319D0">
        <w:rPr>
          <w:rFonts w:hint="eastAsia"/>
        </w:rPr>
        <w:t>依拠することを</w:t>
      </w:r>
      <w:r w:rsidR="00546539">
        <w:rPr>
          <w:rFonts w:hint="eastAsia"/>
        </w:rPr>
        <w:t>許可した場合、当該締約国は、次のものを提供しなければならない。</w:t>
      </w:r>
    </w:p>
    <w:p w14:paraId="6B9D7DEF" w14:textId="77777777" w:rsidR="00546539" w:rsidRDefault="00546539" w:rsidP="00112A0D"/>
    <w:p w14:paraId="13F521AE" w14:textId="77777777" w:rsidR="00546539" w:rsidRDefault="00546539" w:rsidP="00112A0D">
      <w:pPr>
        <w:ind w:leftChars="337" w:left="1558" w:hangingChars="405" w:hanging="850"/>
      </w:pPr>
      <w:r>
        <w:rPr>
          <w:rFonts w:hint="eastAsia"/>
        </w:rPr>
        <w:t xml:space="preserve">(a)     </w:t>
      </w:r>
      <w:r w:rsidR="00C56766">
        <w:rPr>
          <w:rFonts w:hint="eastAsia"/>
        </w:rPr>
        <w:t>特許保有者</w:t>
      </w:r>
      <w:r w:rsidR="00C56766">
        <w:rPr>
          <w:rStyle w:val="aa"/>
        </w:rPr>
        <w:footnoteReference w:id="28"/>
      </w:r>
      <w:r w:rsidR="00B72190">
        <w:rPr>
          <w:rFonts w:hint="eastAsia"/>
        </w:rPr>
        <w:t>に通知を行い、又は、</w:t>
      </w:r>
      <w:r w:rsidR="004255AD">
        <w:rPr>
          <w:rFonts w:hint="eastAsia"/>
        </w:rPr>
        <w:t>当該医薬品の販売の前に特許</w:t>
      </w:r>
      <w:r w:rsidR="005319D0">
        <w:rPr>
          <w:rFonts w:hint="eastAsia"/>
        </w:rPr>
        <w:t>保有</w:t>
      </w:r>
      <w:r w:rsidR="004255AD">
        <w:rPr>
          <w:rFonts w:hint="eastAsia"/>
        </w:rPr>
        <w:t>者に通知することができるシステム</w:t>
      </w:r>
      <w:r w:rsidR="00B20F74">
        <w:rPr>
          <w:rFonts w:hint="eastAsia"/>
        </w:rPr>
        <w:t>であり、当該他の</w:t>
      </w:r>
      <w:r w:rsidR="002C1286">
        <w:rPr>
          <w:rFonts w:hint="eastAsia"/>
        </w:rPr>
        <w:t>者</w:t>
      </w:r>
      <w:r w:rsidR="00B20F74">
        <w:rPr>
          <w:rFonts w:hint="eastAsia"/>
        </w:rPr>
        <w:t>は、承認された医薬品又は</w:t>
      </w:r>
      <w:r w:rsidR="00B73249">
        <w:rPr>
          <w:rFonts w:hint="eastAsia"/>
        </w:rPr>
        <w:t>その承認された使用方法に適用される特許期間の間、当該製品を販売する</w:t>
      </w:r>
      <w:r w:rsidR="005319D0">
        <w:rPr>
          <w:rFonts w:hint="eastAsia"/>
        </w:rPr>
        <w:t>ために当該システムを求めている</w:t>
      </w:r>
      <w:r w:rsidR="00B73249">
        <w:rPr>
          <w:rFonts w:hint="eastAsia"/>
        </w:rPr>
        <w:t>。</w:t>
      </w:r>
    </w:p>
    <w:p w14:paraId="3E19BA65" w14:textId="77777777" w:rsidR="00B73249" w:rsidRDefault="00B73249" w:rsidP="00112A0D">
      <w:pPr>
        <w:ind w:leftChars="337" w:left="1558" w:hangingChars="405" w:hanging="850"/>
      </w:pPr>
    </w:p>
    <w:p w14:paraId="7C1098A4" w14:textId="77777777" w:rsidR="00B73249" w:rsidRDefault="00B73249" w:rsidP="00112A0D">
      <w:pPr>
        <w:ind w:leftChars="337" w:left="1558" w:hangingChars="405" w:hanging="850"/>
      </w:pPr>
      <w:r>
        <w:rPr>
          <w:rFonts w:hint="eastAsia"/>
        </w:rPr>
        <w:t xml:space="preserve">(b)     </w:t>
      </w:r>
      <w:r w:rsidR="003A494E">
        <w:rPr>
          <w:rFonts w:hint="eastAsia"/>
        </w:rPr>
        <w:t>当該特許</w:t>
      </w:r>
      <w:r w:rsidR="005319D0">
        <w:rPr>
          <w:rFonts w:hint="eastAsia"/>
        </w:rPr>
        <w:t>保有</w:t>
      </w:r>
      <w:r w:rsidR="003A494E">
        <w:rPr>
          <w:rFonts w:hint="eastAsia"/>
        </w:rPr>
        <w:t>者が侵害品と申し立てられている医薬品の販売前</w:t>
      </w:r>
      <w:r w:rsidR="00C56766">
        <w:rPr>
          <w:rStyle w:val="aa"/>
        </w:rPr>
        <w:footnoteReference w:id="29"/>
      </w:r>
      <w:r w:rsidR="003A494E">
        <w:rPr>
          <w:rFonts w:hint="eastAsia"/>
        </w:rPr>
        <w:t>に</w:t>
      </w:r>
      <w:r w:rsidR="00BA4942">
        <w:rPr>
          <w:rFonts w:hint="eastAsia"/>
        </w:rPr>
        <w:t>第</w:t>
      </w:r>
      <w:r w:rsidR="00BA4942">
        <w:rPr>
          <w:rFonts w:hint="eastAsia"/>
        </w:rPr>
        <w:t>(c)</w:t>
      </w:r>
      <w:r w:rsidR="00BA4942">
        <w:rPr>
          <w:rFonts w:hint="eastAsia"/>
        </w:rPr>
        <w:t>号で利用可能な救済策を求めるために適切な時間及び機会、及び、</w:t>
      </w:r>
    </w:p>
    <w:p w14:paraId="23BCD79F" w14:textId="77777777" w:rsidR="00BA4942" w:rsidRDefault="00BA4942" w:rsidP="00112A0D">
      <w:pPr>
        <w:ind w:leftChars="337" w:left="1558" w:hangingChars="405" w:hanging="850"/>
      </w:pPr>
    </w:p>
    <w:p w14:paraId="1EA8B4F9" w14:textId="77777777" w:rsidR="00BA4942" w:rsidRDefault="00BA4942" w:rsidP="00112A0D">
      <w:pPr>
        <w:ind w:leftChars="337" w:left="1558" w:hangingChars="405" w:hanging="850"/>
      </w:pPr>
      <w:r>
        <w:rPr>
          <w:rFonts w:hint="eastAsia"/>
        </w:rPr>
        <w:t xml:space="preserve">(c)     </w:t>
      </w:r>
      <w:r w:rsidR="0052634A">
        <w:rPr>
          <w:rFonts w:hint="eastAsia"/>
        </w:rPr>
        <w:t>司法手続き及び行政手続き等の手続き、並びに、</w:t>
      </w:r>
      <w:r w:rsidR="00D7376B">
        <w:rPr>
          <w:rFonts w:hint="eastAsia"/>
        </w:rPr>
        <w:t>承認された医薬品又は</w:t>
      </w:r>
      <w:r w:rsidR="005319D0">
        <w:rPr>
          <w:rFonts w:hint="eastAsia"/>
        </w:rPr>
        <w:t>承認</w:t>
      </w:r>
      <w:r w:rsidR="00D7376B">
        <w:rPr>
          <w:rFonts w:hint="eastAsia"/>
        </w:rPr>
        <w:t>された使用方法を主張するのに適用される特許</w:t>
      </w:r>
      <w:r w:rsidR="001D6986">
        <w:rPr>
          <w:rFonts w:hint="eastAsia"/>
        </w:rPr>
        <w:t>の有効性又は侵害に関する紛争の適時の解決のための、事前差し止め又は同等の</w:t>
      </w:r>
      <w:r w:rsidR="00617619">
        <w:rPr>
          <w:rFonts w:hint="eastAsia"/>
        </w:rPr>
        <w:t>有効な仮処分</w:t>
      </w:r>
    </w:p>
    <w:p w14:paraId="49336F80" w14:textId="77777777" w:rsidR="00617619" w:rsidRDefault="00617619" w:rsidP="00112A0D"/>
    <w:p w14:paraId="5549606F" w14:textId="77777777" w:rsidR="00617619" w:rsidRDefault="00617619" w:rsidP="00112A0D">
      <w:r>
        <w:rPr>
          <w:rFonts w:hint="eastAsia"/>
        </w:rPr>
        <w:t xml:space="preserve">2.     </w:t>
      </w:r>
      <w:r>
        <w:rPr>
          <w:rFonts w:hint="eastAsia"/>
        </w:rPr>
        <w:t>第</w:t>
      </w:r>
      <w:r>
        <w:rPr>
          <w:rFonts w:hint="eastAsia"/>
        </w:rPr>
        <w:t>1</w:t>
      </w:r>
      <w:r>
        <w:rPr>
          <w:rFonts w:hint="eastAsia"/>
        </w:rPr>
        <w:t>項の代わりに、</w:t>
      </w:r>
      <w:r w:rsidR="00A72D35">
        <w:rPr>
          <w:rFonts w:hint="eastAsia"/>
        </w:rPr>
        <w:t>特許</w:t>
      </w:r>
      <w:r w:rsidR="005319D0">
        <w:rPr>
          <w:rFonts w:hint="eastAsia"/>
        </w:rPr>
        <w:t>保有</w:t>
      </w:r>
      <w:r w:rsidR="00A72D35">
        <w:rPr>
          <w:rFonts w:hint="eastAsia"/>
        </w:rPr>
        <w:t>者による同意又は不本意な同意のない限り、</w:t>
      </w:r>
      <w:r>
        <w:rPr>
          <w:rFonts w:hint="eastAsia"/>
        </w:rPr>
        <w:t>締約国は、</w:t>
      </w:r>
      <w:r w:rsidR="002A7AB1">
        <w:rPr>
          <w:rFonts w:hint="eastAsia"/>
        </w:rPr>
        <w:t>販売承認のために特許</w:t>
      </w:r>
      <w:r w:rsidR="005319D0">
        <w:rPr>
          <w:rFonts w:hint="eastAsia"/>
        </w:rPr>
        <w:t>保有</w:t>
      </w:r>
      <w:r w:rsidR="002A7AB1">
        <w:rPr>
          <w:rFonts w:hint="eastAsia"/>
        </w:rPr>
        <w:t>者又は出願</w:t>
      </w:r>
      <w:r w:rsidR="002C1286">
        <w:rPr>
          <w:rFonts w:hint="eastAsia"/>
        </w:rPr>
        <w:t>者</w:t>
      </w:r>
      <w:r w:rsidR="002A7AB1">
        <w:rPr>
          <w:rFonts w:hint="eastAsia"/>
        </w:rPr>
        <w:t>が販売承認当局に提出した特許関連情報に基づき、又は、</w:t>
      </w:r>
      <w:r w:rsidR="00CF3687">
        <w:rPr>
          <w:rFonts w:hint="eastAsia"/>
        </w:rPr>
        <w:t>販売承認当局及び特許庁との間の直接の調整に基づき、</w:t>
      </w:r>
      <w:r w:rsidR="005319D0">
        <w:rPr>
          <w:rFonts w:hint="eastAsia"/>
        </w:rPr>
        <w:t>当該製品の</w:t>
      </w:r>
      <w:r w:rsidR="00D56419">
        <w:rPr>
          <w:rFonts w:hint="eastAsia"/>
        </w:rPr>
        <w:t>特許に従</w:t>
      </w:r>
      <w:r w:rsidR="005319D0">
        <w:rPr>
          <w:rFonts w:hint="eastAsia"/>
        </w:rPr>
        <w:t>って</w:t>
      </w:r>
      <w:r w:rsidR="00D56419">
        <w:rPr>
          <w:rFonts w:hint="eastAsia"/>
        </w:rPr>
        <w:t>、医薬品を販売しようとする</w:t>
      </w:r>
      <w:r w:rsidR="00CC6D12">
        <w:rPr>
          <w:rFonts w:hint="eastAsia"/>
        </w:rPr>
        <w:t>第三者に対して、販売承認の発行を排除する、司法手続以外のシステムを採用し又は維持しなければならない。</w:t>
      </w:r>
    </w:p>
    <w:p w14:paraId="7B05617B" w14:textId="77777777" w:rsidR="00CC6D12" w:rsidRDefault="00CC6D12" w:rsidP="00112A0D"/>
    <w:p w14:paraId="18799FC0" w14:textId="77777777" w:rsidR="006A78DE" w:rsidRDefault="006A78DE" w:rsidP="00112A0D">
      <w:pPr>
        <w:rPr>
          <w:b/>
        </w:rPr>
      </w:pPr>
      <w:r>
        <w:rPr>
          <w:rFonts w:hint="eastAsia"/>
          <w:b/>
        </w:rPr>
        <w:t>第</w:t>
      </w:r>
      <w:r>
        <w:rPr>
          <w:rFonts w:hint="eastAsia"/>
          <w:b/>
        </w:rPr>
        <w:t>18.52</w:t>
      </w:r>
      <w:r>
        <w:rPr>
          <w:rFonts w:hint="eastAsia"/>
          <w:b/>
        </w:rPr>
        <w:t xml:space="preserve">条　</w:t>
      </w:r>
      <w:r w:rsidR="00512273">
        <w:rPr>
          <w:rFonts w:hint="eastAsia"/>
          <w:b/>
        </w:rPr>
        <w:t>生物製剤</w:t>
      </w:r>
      <w:r w:rsidR="00DD0269">
        <w:rPr>
          <w:rStyle w:val="aa"/>
          <w:b/>
        </w:rPr>
        <w:footnoteReference w:id="30"/>
      </w:r>
    </w:p>
    <w:p w14:paraId="0CF24A2A" w14:textId="77777777" w:rsidR="00387FA3" w:rsidRDefault="00387FA3" w:rsidP="00112A0D">
      <w:pPr>
        <w:rPr>
          <w:b/>
        </w:rPr>
      </w:pPr>
    </w:p>
    <w:p w14:paraId="4613F6B0" w14:textId="77777777" w:rsidR="00387FA3" w:rsidRDefault="00387FA3" w:rsidP="00112A0D">
      <w:r>
        <w:rPr>
          <w:rFonts w:hint="eastAsia"/>
        </w:rPr>
        <w:t xml:space="preserve">1.     </w:t>
      </w:r>
      <w:r>
        <w:rPr>
          <w:rFonts w:hint="eastAsia"/>
        </w:rPr>
        <w:t>新規の生物製剤</w:t>
      </w:r>
      <w:r w:rsidR="005319D0">
        <w:rPr>
          <w:rFonts w:hint="eastAsia"/>
        </w:rPr>
        <w:t>の</w:t>
      </w:r>
      <w:r>
        <w:rPr>
          <w:rFonts w:hint="eastAsia"/>
        </w:rPr>
        <w:t>保護</w:t>
      </w:r>
      <w:r w:rsidR="005319D0">
        <w:rPr>
          <w:rFonts w:hint="eastAsia"/>
        </w:rPr>
        <w:t>に関しては</w:t>
      </w:r>
      <w:r>
        <w:rPr>
          <w:rFonts w:hint="eastAsia"/>
        </w:rPr>
        <w:t>、締約国は、次のいずれかを行わなければならない。</w:t>
      </w:r>
    </w:p>
    <w:p w14:paraId="06EB9814" w14:textId="77777777" w:rsidR="00387FA3" w:rsidRDefault="00387FA3" w:rsidP="00112A0D"/>
    <w:p w14:paraId="1735FE73" w14:textId="77777777" w:rsidR="00387FA3" w:rsidRDefault="009D1BF6" w:rsidP="00112A0D">
      <w:pPr>
        <w:ind w:left="1418" w:hangingChars="675" w:hanging="1418"/>
      </w:pPr>
      <w:r>
        <w:rPr>
          <w:rFonts w:hint="eastAsia"/>
        </w:rPr>
        <w:t xml:space="preserve">      (a)     </w:t>
      </w:r>
      <w:r w:rsidR="00462D55">
        <w:rPr>
          <w:rFonts w:hint="eastAsia"/>
        </w:rPr>
        <w:t>生物製剤である、又は生物製剤を含む</w:t>
      </w:r>
      <w:r w:rsidR="00DD0269">
        <w:rPr>
          <w:rStyle w:val="aa"/>
        </w:rPr>
        <w:footnoteReference w:id="31"/>
      </w:r>
      <w:r w:rsidR="00DD0269">
        <w:t xml:space="preserve"> </w:t>
      </w:r>
      <w:r w:rsidR="00DD0269">
        <w:rPr>
          <w:rStyle w:val="aa"/>
        </w:rPr>
        <w:footnoteReference w:id="32"/>
      </w:r>
      <w:r w:rsidR="00462D55">
        <w:rPr>
          <w:rFonts w:hint="eastAsia"/>
        </w:rPr>
        <w:t>新規の医薬品の</w:t>
      </w:r>
      <w:r w:rsidR="00315740">
        <w:rPr>
          <w:rFonts w:hint="eastAsia"/>
        </w:rPr>
        <w:t>締約国における最初の販売承認に関して、当該締約国において</w:t>
      </w:r>
      <w:r w:rsidR="00DD6669">
        <w:rPr>
          <w:rFonts w:hint="eastAsia"/>
        </w:rPr>
        <w:t>当該</w:t>
      </w:r>
      <w:r w:rsidR="005319D0">
        <w:rPr>
          <w:rFonts w:hint="eastAsia"/>
        </w:rPr>
        <w:t>製品</w:t>
      </w:r>
      <w:r w:rsidR="00DD6669">
        <w:rPr>
          <w:rFonts w:hint="eastAsia"/>
        </w:rPr>
        <w:t>の最初の販売承認日か</w:t>
      </w:r>
      <w:r w:rsidR="00DD6669">
        <w:rPr>
          <w:rFonts w:hint="eastAsia"/>
        </w:rPr>
        <w:lastRenderedPageBreak/>
        <w:t>ら少なくとも</w:t>
      </w:r>
      <w:r w:rsidR="00DD6669">
        <w:rPr>
          <w:rFonts w:hint="eastAsia"/>
        </w:rPr>
        <w:t>8</w:t>
      </w:r>
      <w:r w:rsidR="00DD6669">
        <w:rPr>
          <w:rFonts w:hint="eastAsia"/>
        </w:rPr>
        <w:t>年の期間の間、第</w:t>
      </w:r>
      <w:r w:rsidR="00DD6669">
        <w:rPr>
          <w:rFonts w:hint="eastAsia"/>
        </w:rPr>
        <w:t>18.50.1</w:t>
      </w:r>
      <w:r w:rsidR="00DD6669">
        <w:rPr>
          <w:rFonts w:hint="eastAsia"/>
        </w:rPr>
        <w:t>（</w:t>
      </w:r>
      <w:r w:rsidR="00013854">
        <w:rPr>
          <w:rFonts w:hint="eastAsia"/>
        </w:rPr>
        <w:t>非開示の試験データ又は他のデータの保護）及び第</w:t>
      </w:r>
      <w:r w:rsidR="00013854">
        <w:rPr>
          <w:rFonts w:hint="eastAsia"/>
        </w:rPr>
        <w:t>18.50.3</w:t>
      </w:r>
      <w:r w:rsidR="00013854">
        <w:rPr>
          <w:rFonts w:hint="eastAsia"/>
        </w:rPr>
        <w:t>の準用</w:t>
      </w:r>
      <w:r w:rsidR="00F02DD2">
        <w:rPr>
          <w:rFonts w:hint="eastAsia"/>
        </w:rPr>
        <w:t>により、有効な販売</w:t>
      </w:r>
      <w:r w:rsidR="005319D0">
        <w:rPr>
          <w:rFonts w:hint="eastAsia"/>
        </w:rPr>
        <w:t>の保護</w:t>
      </w:r>
      <w:r w:rsidR="00F02DD2">
        <w:rPr>
          <w:rFonts w:hint="eastAsia"/>
        </w:rPr>
        <w:t>を行うこと、又は、</w:t>
      </w:r>
    </w:p>
    <w:p w14:paraId="0D6F4AB0" w14:textId="77777777" w:rsidR="00F02DD2" w:rsidRDefault="00F02DD2" w:rsidP="00112A0D">
      <w:pPr>
        <w:ind w:left="1558" w:hangingChars="742" w:hanging="1558"/>
      </w:pPr>
    </w:p>
    <w:p w14:paraId="0190EB4D" w14:textId="77777777" w:rsidR="00F02DD2" w:rsidRDefault="00F02DD2" w:rsidP="00112A0D">
      <w:pPr>
        <w:ind w:left="1418" w:hangingChars="675" w:hanging="1418"/>
      </w:pPr>
      <w:r>
        <w:rPr>
          <w:rFonts w:hint="eastAsia"/>
        </w:rPr>
        <w:t xml:space="preserve">     </w:t>
      </w:r>
      <w:r w:rsidR="009F4D67">
        <w:rPr>
          <w:rFonts w:hint="eastAsia"/>
        </w:rPr>
        <w:t xml:space="preserve"> </w:t>
      </w:r>
      <w:r>
        <w:rPr>
          <w:rFonts w:hint="eastAsia"/>
        </w:rPr>
        <w:t>(b)</w:t>
      </w:r>
      <w:r w:rsidR="009F4D67">
        <w:rPr>
          <w:rFonts w:hint="eastAsia"/>
        </w:rPr>
        <w:t xml:space="preserve">     </w:t>
      </w:r>
      <w:r w:rsidR="009F4D67">
        <w:rPr>
          <w:rFonts w:hint="eastAsia"/>
        </w:rPr>
        <w:t>生物製剤である、又は生物製剤を含む新規の医薬品</w:t>
      </w:r>
      <w:r w:rsidR="002F2002">
        <w:rPr>
          <w:rFonts w:hint="eastAsia"/>
        </w:rPr>
        <w:t>の締約国における最初の販売承認に関して、次のよう</w:t>
      </w:r>
      <w:r w:rsidR="0022654C">
        <w:rPr>
          <w:rFonts w:hint="eastAsia"/>
        </w:rPr>
        <w:t>な</w:t>
      </w:r>
      <w:r w:rsidR="002F2002">
        <w:rPr>
          <w:rFonts w:hint="eastAsia"/>
        </w:rPr>
        <w:t>有効な販売上の保護を行うこと。</w:t>
      </w:r>
    </w:p>
    <w:p w14:paraId="2F9FA6A4" w14:textId="77777777" w:rsidR="002F1423" w:rsidRDefault="002F1423" w:rsidP="00112A0D">
      <w:pPr>
        <w:ind w:left="1418" w:hangingChars="675" w:hanging="1418"/>
      </w:pPr>
    </w:p>
    <w:p w14:paraId="1AC8A7DD" w14:textId="77777777" w:rsidR="002F1423" w:rsidRDefault="002F1423" w:rsidP="00112A0D">
      <w:pPr>
        <w:ind w:leftChars="675" w:left="2409" w:hangingChars="472" w:hanging="991"/>
      </w:pPr>
      <w:r>
        <w:rPr>
          <w:rFonts w:hint="eastAsia"/>
        </w:rPr>
        <w:t>(</w:t>
      </w:r>
      <w:r>
        <w:rPr>
          <w:rFonts w:hint="eastAsia"/>
        </w:rPr>
        <w:t>ⅰ</w:t>
      </w:r>
      <w:r>
        <w:rPr>
          <w:rFonts w:hint="eastAsia"/>
        </w:rPr>
        <w:t xml:space="preserve">)     </w:t>
      </w:r>
      <w:r w:rsidR="00BE7925" w:rsidRPr="00BE7925">
        <w:rPr>
          <w:rFonts w:hint="eastAsia"/>
        </w:rPr>
        <w:t>当該締約国において当該医薬品の最初の販売承認日から少なくとも</w:t>
      </w:r>
      <w:r w:rsidR="00981404">
        <w:rPr>
          <w:rFonts w:hint="eastAsia"/>
        </w:rPr>
        <w:t>5</w:t>
      </w:r>
      <w:r w:rsidR="00BE7925" w:rsidRPr="00BE7925">
        <w:rPr>
          <w:rFonts w:hint="eastAsia"/>
        </w:rPr>
        <w:t>年の期間の間、</w:t>
      </w:r>
      <w:r w:rsidRPr="002F1423">
        <w:rPr>
          <w:rFonts w:hint="eastAsia"/>
        </w:rPr>
        <w:t>第</w:t>
      </w:r>
      <w:r w:rsidRPr="002F1423">
        <w:rPr>
          <w:rFonts w:hint="eastAsia"/>
        </w:rPr>
        <w:t>18.50.1</w:t>
      </w:r>
      <w:r w:rsidRPr="002F1423">
        <w:rPr>
          <w:rFonts w:hint="eastAsia"/>
        </w:rPr>
        <w:t>（非開示の試験データ又は他のデータの保護）及び第</w:t>
      </w:r>
      <w:r w:rsidRPr="002F1423">
        <w:rPr>
          <w:rFonts w:hint="eastAsia"/>
        </w:rPr>
        <w:t>18.50.3</w:t>
      </w:r>
      <w:r w:rsidRPr="002F1423">
        <w:rPr>
          <w:rFonts w:hint="eastAsia"/>
        </w:rPr>
        <w:t>の準用に</w:t>
      </w:r>
      <w:r w:rsidR="00981404">
        <w:rPr>
          <w:rFonts w:hint="eastAsia"/>
        </w:rPr>
        <w:t>よる</w:t>
      </w:r>
      <w:r w:rsidR="005319D0">
        <w:rPr>
          <w:rFonts w:hint="eastAsia"/>
        </w:rPr>
        <w:t>こと</w:t>
      </w:r>
      <w:r w:rsidR="00981404">
        <w:rPr>
          <w:rFonts w:hint="eastAsia"/>
        </w:rPr>
        <w:t>。</w:t>
      </w:r>
    </w:p>
    <w:p w14:paraId="1EDC96CD" w14:textId="77777777" w:rsidR="00981404" w:rsidRDefault="00981404" w:rsidP="00112A0D">
      <w:pPr>
        <w:ind w:leftChars="675" w:left="2409" w:hangingChars="472" w:hanging="991"/>
      </w:pPr>
    </w:p>
    <w:p w14:paraId="0F91F993" w14:textId="77777777" w:rsidR="00981404" w:rsidRDefault="00981404" w:rsidP="00112A0D">
      <w:pPr>
        <w:ind w:leftChars="675" w:left="2409" w:hangingChars="472" w:hanging="991"/>
      </w:pPr>
      <w:r>
        <w:rPr>
          <w:rFonts w:hint="eastAsia"/>
        </w:rPr>
        <w:t>(</w:t>
      </w:r>
      <w:r>
        <w:rPr>
          <w:rFonts w:hint="eastAsia"/>
        </w:rPr>
        <w:t>ⅱ</w:t>
      </w:r>
      <w:r>
        <w:rPr>
          <w:rFonts w:hint="eastAsia"/>
        </w:rPr>
        <w:t xml:space="preserve">)     </w:t>
      </w:r>
      <w:r>
        <w:rPr>
          <w:rFonts w:hint="eastAsia"/>
        </w:rPr>
        <w:t>他の措置による</w:t>
      </w:r>
      <w:r w:rsidR="005319D0">
        <w:rPr>
          <w:rFonts w:hint="eastAsia"/>
        </w:rPr>
        <w:t>こと</w:t>
      </w:r>
      <w:r>
        <w:rPr>
          <w:rFonts w:hint="eastAsia"/>
        </w:rPr>
        <w:t>、及び、</w:t>
      </w:r>
    </w:p>
    <w:p w14:paraId="6E2035FB" w14:textId="77777777" w:rsidR="00981404" w:rsidRDefault="00981404" w:rsidP="00112A0D">
      <w:pPr>
        <w:ind w:leftChars="675" w:left="2409" w:hangingChars="472" w:hanging="991"/>
      </w:pPr>
    </w:p>
    <w:p w14:paraId="64C3E1DE" w14:textId="77777777" w:rsidR="00981404" w:rsidRDefault="00981404" w:rsidP="00112A0D">
      <w:pPr>
        <w:ind w:leftChars="675" w:left="2409" w:hangingChars="472" w:hanging="991"/>
      </w:pPr>
      <w:r>
        <w:rPr>
          <w:rFonts w:hint="eastAsia"/>
        </w:rPr>
        <w:t>(</w:t>
      </w:r>
      <w:r>
        <w:rPr>
          <w:rFonts w:hint="eastAsia"/>
        </w:rPr>
        <w:t>ⅲ</w:t>
      </w:r>
      <w:r>
        <w:rPr>
          <w:rFonts w:hint="eastAsia"/>
        </w:rPr>
        <w:t xml:space="preserve">)     </w:t>
      </w:r>
      <w:r w:rsidR="00556E74">
        <w:rPr>
          <w:rFonts w:hint="eastAsia"/>
        </w:rPr>
        <w:t>販売状況がまた、</w:t>
      </w:r>
      <w:r w:rsidR="0022654C">
        <w:rPr>
          <w:rFonts w:hint="eastAsia"/>
        </w:rPr>
        <w:t>市場において</w:t>
      </w:r>
      <w:r w:rsidR="00CF3EBA">
        <w:rPr>
          <w:rFonts w:hint="eastAsia"/>
        </w:rPr>
        <w:t>同等の結果をもたらす</w:t>
      </w:r>
      <w:r w:rsidR="00556E74">
        <w:rPr>
          <w:rFonts w:hint="eastAsia"/>
        </w:rPr>
        <w:t>有効な販売保護に寄与する</w:t>
      </w:r>
      <w:r w:rsidR="00CF4BC6">
        <w:rPr>
          <w:rFonts w:hint="eastAsia"/>
        </w:rPr>
        <w:t>と認める</w:t>
      </w:r>
      <w:r w:rsidR="00556E74">
        <w:rPr>
          <w:rFonts w:hint="eastAsia"/>
        </w:rPr>
        <w:t>こと</w:t>
      </w:r>
      <w:r w:rsidR="0022654C">
        <w:rPr>
          <w:rFonts w:hint="eastAsia"/>
        </w:rPr>
        <w:t>。</w:t>
      </w:r>
    </w:p>
    <w:p w14:paraId="49BCF7A9" w14:textId="77777777" w:rsidR="00623193" w:rsidRDefault="00623193" w:rsidP="00112A0D"/>
    <w:p w14:paraId="7175EB74" w14:textId="77777777" w:rsidR="00623193" w:rsidRDefault="00623193" w:rsidP="00112A0D">
      <w:r>
        <w:rPr>
          <w:rFonts w:hint="eastAsia"/>
        </w:rPr>
        <w:t xml:space="preserve">2.     </w:t>
      </w:r>
      <w:r>
        <w:rPr>
          <w:rFonts w:hint="eastAsia"/>
        </w:rPr>
        <w:t>本節に関しては、各締約国は、</w:t>
      </w:r>
      <w:r w:rsidR="005F4B69">
        <w:rPr>
          <w:rFonts w:hint="eastAsia"/>
        </w:rPr>
        <w:t>病気の予防、治療又は治癒若しくは体調に関して</w:t>
      </w:r>
      <w:r w:rsidR="002C1286">
        <w:rPr>
          <w:rFonts w:hint="eastAsia"/>
        </w:rPr>
        <w:t>者</w:t>
      </w:r>
      <w:r w:rsidR="005F4B69">
        <w:rPr>
          <w:rFonts w:hint="eastAsia"/>
        </w:rPr>
        <w:t>間</w:t>
      </w:r>
      <w:r w:rsidR="00590B34">
        <w:rPr>
          <w:rFonts w:hint="eastAsia"/>
        </w:rPr>
        <w:t>に</w:t>
      </w:r>
      <w:r w:rsidR="00E47FF2">
        <w:rPr>
          <w:rFonts w:hint="eastAsia"/>
        </w:rPr>
        <w:t>利用する</w:t>
      </w:r>
      <w:r w:rsidR="00590B34">
        <w:rPr>
          <w:rFonts w:hint="eastAsia"/>
        </w:rPr>
        <w:t>ために、生命工学過程を</w:t>
      </w:r>
      <w:r w:rsidR="00E47FF2">
        <w:rPr>
          <w:rFonts w:hint="eastAsia"/>
        </w:rPr>
        <w:t>用いて製造されたタンパク質そのものである、又は当該タンパク質を含む製品に対して、最低でも、本条を適用しなければならない。</w:t>
      </w:r>
    </w:p>
    <w:p w14:paraId="53D6B1E8" w14:textId="77777777" w:rsidR="00FB7D3B" w:rsidRDefault="00FB7D3B" w:rsidP="00112A0D"/>
    <w:p w14:paraId="6E73F95B" w14:textId="77777777" w:rsidR="00FB7D3B" w:rsidRDefault="00FB7D3B" w:rsidP="00112A0D">
      <w:r>
        <w:rPr>
          <w:rFonts w:hint="eastAsia"/>
        </w:rPr>
        <w:t xml:space="preserve">3.     </w:t>
      </w:r>
      <w:r w:rsidR="001763D5" w:rsidRPr="008365C3">
        <w:rPr>
          <w:rFonts w:hint="eastAsia"/>
        </w:rPr>
        <w:t>締約国は、</w:t>
      </w:r>
      <w:r w:rsidR="007B0913" w:rsidRPr="008365C3">
        <w:rPr>
          <w:rFonts w:hint="eastAsia"/>
        </w:rPr>
        <w:t>生物製剤でそのものであるか又は生物製剤を含む新規の医薬品の国際</w:t>
      </w:r>
      <w:r w:rsidR="00CF4BC6" w:rsidRPr="008365C3">
        <w:rPr>
          <w:rFonts w:hint="eastAsia"/>
        </w:rPr>
        <w:t>的又は</w:t>
      </w:r>
      <w:r w:rsidR="007B0913" w:rsidRPr="008365C3">
        <w:rPr>
          <w:rFonts w:hint="eastAsia"/>
        </w:rPr>
        <w:t>国内</w:t>
      </w:r>
      <w:r w:rsidR="00CF4BC6" w:rsidRPr="008365C3">
        <w:rPr>
          <w:rFonts w:hint="eastAsia"/>
        </w:rPr>
        <w:t>の</w:t>
      </w:r>
      <w:r w:rsidR="007B0913" w:rsidRPr="008365C3">
        <w:rPr>
          <w:rFonts w:hint="eastAsia"/>
        </w:rPr>
        <w:t>規則が</w:t>
      </w:r>
      <w:r w:rsidR="001763D5" w:rsidRPr="008365C3">
        <w:rPr>
          <w:rFonts w:hint="eastAsia"/>
        </w:rPr>
        <w:t>形成段階にあり、販売状況が進展していくことを認識し、</w:t>
      </w:r>
      <w:r w:rsidR="0066584B" w:rsidRPr="008365C3">
        <w:rPr>
          <w:rFonts w:hint="eastAsia"/>
        </w:rPr>
        <w:t>生物製剤そのものであるか又は生物製剤を含む新規の医薬品の開発の有効な</w:t>
      </w:r>
      <w:r w:rsidR="00CF4BC6" w:rsidRPr="008365C3">
        <w:rPr>
          <w:rFonts w:hint="eastAsia"/>
        </w:rPr>
        <w:t>動機</w:t>
      </w:r>
      <w:r w:rsidR="0066584B" w:rsidRPr="008365C3">
        <w:rPr>
          <w:rFonts w:hint="eastAsia"/>
        </w:rPr>
        <w:t>を提供する</w:t>
      </w:r>
      <w:r w:rsidR="009446F2" w:rsidRPr="008365C3">
        <w:rPr>
          <w:rFonts w:hint="eastAsia"/>
        </w:rPr>
        <w:t>観点から、及び、次</w:t>
      </w:r>
      <w:r w:rsidR="008365C3" w:rsidRPr="008365C3">
        <w:rPr>
          <w:rFonts w:hint="eastAsia"/>
        </w:rPr>
        <w:t>のバイオ医薬品の後続品の適時の利便性を容易にし、適用範囲が、生物製剤そのものであるか</w:t>
      </w:r>
      <w:r w:rsidR="004673BA" w:rsidRPr="008365C3">
        <w:rPr>
          <w:rFonts w:hint="eastAsia"/>
        </w:rPr>
        <w:t>又は生物製剤を含む新規の医薬品の追加の分類の承認に関する</w:t>
      </w:r>
      <w:r w:rsidR="007A3824" w:rsidRPr="008365C3">
        <w:rPr>
          <w:rFonts w:hint="eastAsia"/>
        </w:rPr>
        <w:t>国際的な進展に一致していることを保証する</w:t>
      </w:r>
      <w:r w:rsidR="00CD5489" w:rsidRPr="008365C3">
        <w:rPr>
          <w:rFonts w:hint="eastAsia"/>
        </w:rPr>
        <w:t>観点から、</w:t>
      </w:r>
      <w:r w:rsidR="00CF4BC6" w:rsidRPr="008365C3">
        <w:rPr>
          <w:rFonts w:hint="eastAsia"/>
        </w:rPr>
        <w:t>本協定の発効日から</w:t>
      </w:r>
      <w:r w:rsidR="00CF4BC6" w:rsidRPr="008365C3">
        <w:rPr>
          <w:rFonts w:hint="eastAsia"/>
        </w:rPr>
        <w:t>10</w:t>
      </w:r>
      <w:r w:rsidR="00CF4BC6" w:rsidRPr="008365C3">
        <w:rPr>
          <w:rFonts w:hint="eastAsia"/>
        </w:rPr>
        <w:t>年後に又は、</w:t>
      </w:r>
      <w:r w:rsidR="00CF4BC6" w:rsidRPr="008365C3">
        <w:rPr>
          <w:rFonts w:hint="eastAsia"/>
        </w:rPr>
        <w:t>TPP</w:t>
      </w:r>
      <w:r w:rsidR="00CF4BC6" w:rsidRPr="008365C3">
        <w:rPr>
          <w:rFonts w:hint="eastAsia"/>
        </w:rPr>
        <w:t>委員会の決定により、</w:t>
      </w:r>
      <w:r w:rsidR="00737FC9" w:rsidRPr="008365C3">
        <w:rPr>
          <w:rFonts w:hint="eastAsia"/>
        </w:rPr>
        <w:t>協議をして第</w:t>
      </w:r>
      <w:r w:rsidR="00737FC9" w:rsidRPr="008365C3">
        <w:rPr>
          <w:rFonts w:hint="eastAsia"/>
        </w:rPr>
        <w:t>1</w:t>
      </w:r>
      <w:r w:rsidR="00737FC9" w:rsidRPr="008365C3">
        <w:rPr>
          <w:rFonts w:hint="eastAsia"/>
        </w:rPr>
        <w:t>項に定める排他的期間及び第</w:t>
      </w:r>
      <w:r w:rsidR="00737FC9" w:rsidRPr="008365C3">
        <w:rPr>
          <w:rFonts w:hint="eastAsia"/>
        </w:rPr>
        <w:t>2</w:t>
      </w:r>
      <w:r w:rsidR="00737FC9" w:rsidRPr="008365C3">
        <w:rPr>
          <w:rFonts w:hint="eastAsia"/>
        </w:rPr>
        <w:t>項に定める</w:t>
      </w:r>
      <w:r w:rsidR="00DD25EB" w:rsidRPr="008365C3">
        <w:rPr>
          <w:rFonts w:hint="eastAsia"/>
        </w:rPr>
        <w:t>適用範囲を</w:t>
      </w:r>
      <w:r w:rsidR="00CF4BC6" w:rsidRPr="008365C3">
        <w:rPr>
          <w:rFonts w:hint="eastAsia"/>
        </w:rPr>
        <w:t>審理</w:t>
      </w:r>
      <w:r w:rsidR="00DD25EB" w:rsidRPr="008365C3">
        <w:rPr>
          <w:rFonts w:hint="eastAsia"/>
        </w:rPr>
        <w:t>しなければならない</w:t>
      </w:r>
      <w:r w:rsidR="00DD25EB">
        <w:rPr>
          <w:rFonts w:hint="eastAsia"/>
        </w:rPr>
        <w:t>。</w:t>
      </w:r>
    </w:p>
    <w:p w14:paraId="7231FD5C" w14:textId="77777777" w:rsidR="00F02DD2" w:rsidRDefault="00F02DD2" w:rsidP="00112A0D"/>
    <w:p w14:paraId="02D1A272" w14:textId="77777777" w:rsidR="00512273" w:rsidRDefault="00512273" w:rsidP="00112A0D">
      <w:pPr>
        <w:rPr>
          <w:b/>
        </w:rPr>
      </w:pPr>
      <w:r>
        <w:rPr>
          <w:rFonts w:hint="eastAsia"/>
          <w:b/>
        </w:rPr>
        <w:t>第</w:t>
      </w:r>
      <w:r>
        <w:rPr>
          <w:rFonts w:hint="eastAsia"/>
          <w:b/>
        </w:rPr>
        <w:t>18</w:t>
      </w:r>
      <w:r w:rsidR="00003EDD">
        <w:rPr>
          <w:rFonts w:hint="eastAsia"/>
          <w:b/>
        </w:rPr>
        <w:t>.53</w:t>
      </w:r>
      <w:r w:rsidR="00003EDD">
        <w:rPr>
          <w:rFonts w:hint="eastAsia"/>
          <w:b/>
        </w:rPr>
        <w:t xml:space="preserve">条　</w:t>
      </w:r>
      <w:r w:rsidR="00F21188">
        <w:rPr>
          <w:rFonts w:hint="eastAsia"/>
          <w:b/>
        </w:rPr>
        <w:t>新規の医薬品の定義</w:t>
      </w:r>
    </w:p>
    <w:p w14:paraId="3F5191CE" w14:textId="77777777" w:rsidR="008E16FB" w:rsidRDefault="008E16FB" w:rsidP="00112A0D">
      <w:pPr>
        <w:rPr>
          <w:b/>
        </w:rPr>
      </w:pPr>
    </w:p>
    <w:p w14:paraId="375373FD" w14:textId="77777777" w:rsidR="008E16FB" w:rsidRDefault="008E16FB" w:rsidP="00112A0D">
      <w:r>
        <w:rPr>
          <w:rFonts w:hint="eastAsia"/>
        </w:rPr>
        <w:t xml:space="preserve">       </w:t>
      </w:r>
      <w:r>
        <w:rPr>
          <w:rFonts w:hint="eastAsia"/>
        </w:rPr>
        <w:t>第</w:t>
      </w:r>
      <w:r>
        <w:rPr>
          <w:rFonts w:hint="eastAsia"/>
        </w:rPr>
        <w:t>18.50.1</w:t>
      </w:r>
      <w:r>
        <w:rPr>
          <w:rFonts w:hint="eastAsia"/>
        </w:rPr>
        <w:t>条（非開示の試験データ又は他のデータの保護）</w:t>
      </w:r>
      <w:r w:rsidR="00E43AAB">
        <w:rPr>
          <w:rFonts w:hint="eastAsia"/>
        </w:rPr>
        <w:t>に関して、</w:t>
      </w:r>
      <w:r w:rsidR="00E43AAB">
        <w:rPr>
          <w:rFonts w:hint="eastAsia"/>
          <w:b/>
        </w:rPr>
        <w:t>新規の医薬品</w:t>
      </w:r>
      <w:r w:rsidR="00E43AAB">
        <w:rPr>
          <w:rFonts w:hint="eastAsia"/>
        </w:rPr>
        <w:t>とは、当該締約国で従前に承認されている化学成分を含まない</w:t>
      </w:r>
      <w:r w:rsidR="003F2ADA">
        <w:rPr>
          <w:rStyle w:val="aa"/>
        </w:rPr>
        <w:footnoteReference w:id="33"/>
      </w:r>
      <w:r w:rsidR="009B1864">
        <w:rPr>
          <w:rFonts w:hint="eastAsia"/>
        </w:rPr>
        <w:t>医薬品を意味する。</w:t>
      </w:r>
    </w:p>
    <w:p w14:paraId="17958DD3" w14:textId="77777777" w:rsidR="009B1864" w:rsidRDefault="009B1864" w:rsidP="00112A0D"/>
    <w:p w14:paraId="5F6E941E" w14:textId="77777777" w:rsidR="00003EDD" w:rsidRDefault="00003EDD" w:rsidP="00112A0D">
      <w:pPr>
        <w:rPr>
          <w:b/>
        </w:rPr>
      </w:pPr>
      <w:r>
        <w:rPr>
          <w:rFonts w:hint="eastAsia"/>
          <w:b/>
        </w:rPr>
        <w:t>第</w:t>
      </w:r>
      <w:r>
        <w:rPr>
          <w:rFonts w:hint="eastAsia"/>
          <w:b/>
        </w:rPr>
        <w:t>18.54</w:t>
      </w:r>
      <w:r>
        <w:rPr>
          <w:rFonts w:hint="eastAsia"/>
          <w:b/>
        </w:rPr>
        <w:t xml:space="preserve">条　</w:t>
      </w:r>
      <w:r w:rsidR="00CE061E">
        <w:rPr>
          <w:rFonts w:hint="eastAsia"/>
          <w:b/>
        </w:rPr>
        <w:t>保護期間の変更</w:t>
      </w:r>
    </w:p>
    <w:p w14:paraId="41C307D4" w14:textId="77777777" w:rsidR="00F971B1" w:rsidRDefault="00F971B1" w:rsidP="00112A0D">
      <w:pPr>
        <w:rPr>
          <w:b/>
        </w:rPr>
      </w:pPr>
    </w:p>
    <w:p w14:paraId="30353324" w14:textId="77777777" w:rsidR="00E70DA1" w:rsidRPr="00E55A25" w:rsidRDefault="00E55A25" w:rsidP="00112A0D">
      <w:r>
        <w:rPr>
          <w:rFonts w:hint="eastAsia"/>
          <w:b/>
        </w:rPr>
        <w:t xml:space="preserve">　　　</w:t>
      </w:r>
      <w:r w:rsidRPr="00E55A25">
        <w:rPr>
          <w:rFonts w:hint="eastAsia"/>
        </w:rPr>
        <w:t>第</w:t>
      </w:r>
      <w:r w:rsidRPr="00E55A25">
        <w:rPr>
          <w:rFonts w:hint="eastAsia"/>
        </w:rPr>
        <w:t>18.50.</w:t>
      </w:r>
      <w:r>
        <w:rPr>
          <w:rFonts w:hint="eastAsia"/>
        </w:rPr>
        <w:t>3</w:t>
      </w:r>
      <w:r w:rsidRPr="00E55A25">
        <w:rPr>
          <w:rFonts w:hint="eastAsia"/>
        </w:rPr>
        <w:t>条（非開示の試験データ又は他のデータの保護）に</w:t>
      </w:r>
      <w:r>
        <w:rPr>
          <w:rFonts w:hint="eastAsia"/>
        </w:rPr>
        <w:t>従い、</w:t>
      </w:r>
      <w:r w:rsidR="008A3D3A">
        <w:rPr>
          <w:rFonts w:hint="eastAsia"/>
        </w:rPr>
        <w:t>製品が、</w:t>
      </w:r>
      <w:r w:rsidR="00E70DA1">
        <w:rPr>
          <w:rFonts w:hint="eastAsia"/>
        </w:rPr>
        <w:t>第</w:t>
      </w:r>
      <w:r w:rsidR="00E70DA1">
        <w:rPr>
          <w:rFonts w:hint="eastAsia"/>
        </w:rPr>
        <w:t>18.47</w:t>
      </w:r>
      <w:r w:rsidR="00E70DA1">
        <w:rPr>
          <w:rFonts w:hint="eastAsia"/>
        </w:rPr>
        <w:t>条（農業用の化学品のための</w:t>
      </w:r>
      <w:r w:rsidR="00CF4BC6">
        <w:rPr>
          <w:rFonts w:hint="eastAsia"/>
        </w:rPr>
        <w:t>非開示の</w:t>
      </w:r>
      <w:r w:rsidR="00E70DA1">
        <w:rPr>
          <w:rFonts w:hint="eastAsia"/>
        </w:rPr>
        <w:t>試験データその他のデータの保護）、</w:t>
      </w:r>
      <w:r w:rsidR="0094437D">
        <w:rPr>
          <w:rFonts w:hint="eastAsia"/>
        </w:rPr>
        <w:t>第</w:t>
      </w:r>
      <w:r w:rsidR="0094437D">
        <w:rPr>
          <w:rFonts w:hint="eastAsia"/>
        </w:rPr>
        <w:t>18.50</w:t>
      </w:r>
      <w:r w:rsidR="0094437D">
        <w:rPr>
          <w:rFonts w:hint="eastAsia"/>
        </w:rPr>
        <w:t>条又は第</w:t>
      </w:r>
      <w:r w:rsidR="0094437D">
        <w:rPr>
          <w:rFonts w:hint="eastAsia"/>
        </w:rPr>
        <w:t>18.52</w:t>
      </w:r>
      <w:r w:rsidR="0094437D">
        <w:rPr>
          <w:rFonts w:hint="eastAsia"/>
        </w:rPr>
        <w:t>条（生物製剤）</w:t>
      </w:r>
      <w:r w:rsidR="004A2BE1">
        <w:rPr>
          <w:rFonts w:hint="eastAsia"/>
        </w:rPr>
        <w:t>に関して、締約国の領域内で販売承認の対象となり、</w:t>
      </w:r>
      <w:r w:rsidR="00913779">
        <w:rPr>
          <w:rFonts w:hint="eastAsia"/>
        </w:rPr>
        <w:t>また、</w:t>
      </w:r>
      <w:r w:rsidR="004A2BE1">
        <w:rPr>
          <w:rFonts w:hint="eastAsia"/>
        </w:rPr>
        <w:t>当該締約国の領域内で</w:t>
      </w:r>
      <w:r w:rsidR="00913779">
        <w:rPr>
          <w:rFonts w:hint="eastAsia"/>
        </w:rPr>
        <w:t>特許が及ぶ場合、</w:t>
      </w:r>
      <w:r w:rsidR="00913779" w:rsidRPr="008365C3">
        <w:rPr>
          <w:rFonts w:hint="eastAsia"/>
        </w:rPr>
        <w:t>当該締約国は、</w:t>
      </w:r>
      <w:r w:rsidR="00474CD3" w:rsidRPr="008365C3">
        <w:rPr>
          <w:rFonts w:hint="eastAsia"/>
        </w:rPr>
        <w:t>特許による保護が第</w:t>
      </w:r>
      <w:r w:rsidR="00474CD3" w:rsidRPr="008365C3">
        <w:rPr>
          <w:rFonts w:hint="eastAsia"/>
        </w:rPr>
        <w:t>18.47</w:t>
      </w:r>
      <w:r w:rsidR="00474CD3" w:rsidRPr="008365C3">
        <w:rPr>
          <w:rFonts w:hint="eastAsia"/>
        </w:rPr>
        <w:t>条、第</w:t>
      </w:r>
      <w:r w:rsidR="00474CD3" w:rsidRPr="008365C3">
        <w:rPr>
          <w:rFonts w:hint="eastAsia"/>
        </w:rPr>
        <w:t>18.50</w:t>
      </w:r>
      <w:r w:rsidR="00474CD3" w:rsidRPr="008365C3">
        <w:rPr>
          <w:rFonts w:hint="eastAsia"/>
        </w:rPr>
        <w:t>条又は第</w:t>
      </w:r>
      <w:r w:rsidR="00474CD3" w:rsidRPr="008365C3">
        <w:rPr>
          <w:rFonts w:hint="eastAsia"/>
        </w:rPr>
        <w:t>18.52</w:t>
      </w:r>
      <w:r w:rsidR="00474CD3" w:rsidRPr="008365C3">
        <w:rPr>
          <w:rFonts w:hint="eastAsia"/>
        </w:rPr>
        <w:t>条に</w:t>
      </w:r>
      <w:r w:rsidR="00CF4BC6" w:rsidRPr="008365C3">
        <w:rPr>
          <w:rFonts w:hint="eastAsia"/>
        </w:rPr>
        <w:t>定める</w:t>
      </w:r>
      <w:r w:rsidR="00474CD3" w:rsidRPr="008365C3">
        <w:rPr>
          <w:rFonts w:hint="eastAsia"/>
        </w:rPr>
        <w:t>保護期間の</w:t>
      </w:r>
      <w:r w:rsidR="00D01020" w:rsidRPr="008365C3">
        <w:rPr>
          <w:rFonts w:hint="eastAsia"/>
        </w:rPr>
        <w:t>終了より早い日に終了する場合</w:t>
      </w:r>
      <w:r w:rsidR="00CF4BC6" w:rsidRPr="008365C3">
        <w:rPr>
          <w:rFonts w:hint="eastAsia"/>
        </w:rPr>
        <w:t>でも</w:t>
      </w:r>
      <w:r w:rsidR="00D01020" w:rsidRPr="008365C3">
        <w:rPr>
          <w:rFonts w:hint="eastAsia"/>
        </w:rPr>
        <w:t>、第</w:t>
      </w:r>
      <w:r w:rsidR="00D01020" w:rsidRPr="008365C3">
        <w:rPr>
          <w:rFonts w:hint="eastAsia"/>
        </w:rPr>
        <w:t>18.47</w:t>
      </w:r>
      <w:r w:rsidR="00D01020" w:rsidRPr="008365C3">
        <w:rPr>
          <w:rFonts w:hint="eastAsia"/>
        </w:rPr>
        <w:t>条、第</w:t>
      </w:r>
      <w:r w:rsidR="00D01020" w:rsidRPr="008365C3">
        <w:rPr>
          <w:rFonts w:hint="eastAsia"/>
        </w:rPr>
        <w:t>18.50</w:t>
      </w:r>
      <w:r w:rsidR="00D01020" w:rsidRPr="008365C3">
        <w:rPr>
          <w:rFonts w:hint="eastAsia"/>
        </w:rPr>
        <w:t>条又は第</w:t>
      </w:r>
      <w:r w:rsidR="00D01020" w:rsidRPr="008365C3">
        <w:rPr>
          <w:rFonts w:hint="eastAsia"/>
        </w:rPr>
        <w:t>18.52</w:t>
      </w:r>
      <w:r w:rsidR="00D01020" w:rsidRPr="008365C3">
        <w:rPr>
          <w:rFonts w:hint="eastAsia"/>
        </w:rPr>
        <w:t>条に</w:t>
      </w:r>
      <w:r w:rsidR="006B63C2" w:rsidRPr="008365C3">
        <w:rPr>
          <w:rFonts w:hint="eastAsia"/>
        </w:rPr>
        <w:t>関して定める保護期間を変更してはならない。</w:t>
      </w:r>
    </w:p>
    <w:sectPr w:rsidR="00E70DA1" w:rsidRPr="00E55A25">
      <w:headerReference w:type="default" r:id="rId9"/>
      <w:footerReference w:type="default" r:id="rId10"/>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005393" w15:done="0"/>
  <w15:commentEx w15:paraId="2B931FE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1D8A2" w14:textId="77777777" w:rsidR="00415C26" w:rsidRDefault="00415C26" w:rsidP="00617E0E">
      <w:r>
        <w:separator/>
      </w:r>
    </w:p>
  </w:endnote>
  <w:endnote w:type="continuationSeparator" w:id="0">
    <w:p w14:paraId="78AE34B3" w14:textId="77777777" w:rsidR="00415C26" w:rsidRDefault="00415C26" w:rsidP="0061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48750"/>
      <w:docPartObj>
        <w:docPartGallery w:val="Page Numbers (Bottom of Page)"/>
        <w:docPartUnique/>
      </w:docPartObj>
    </w:sdtPr>
    <w:sdtEndPr/>
    <w:sdtContent>
      <w:p w14:paraId="6304920E" w14:textId="77777777" w:rsidR="00B12BCE" w:rsidRDefault="00B12BCE">
        <w:pPr>
          <w:pStyle w:val="a5"/>
          <w:jc w:val="center"/>
        </w:pPr>
        <w:r>
          <w:fldChar w:fldCharType="begin"/>
        </w:r>
        <w:r>
          <w:instrText>PAGE   \* MERGEFORMAT</w:instrText>
        </w:r>
        <w:r>
          <w:fldChar w:fldCharType="separate"/>
        </w:r>
        <w:r w:rsidR="00B15351" w:rsidRPr="00B15351">
          <w:rPr>
            <w:noProof/>
            <w:lang w:val="ja-JP"/>
          </w:rPr>
          <w:t>10</w:t>
        </w:r>
        <w:r>
          <w:fldChar w:fldCharType="end"/>
        </w:r>
      </w:p>
    </w:sdtContent>
  </w:sdt>
  <w:p w14:paraId="416415A7" w14:textId="77777777" w:rsidR="00B12BCE" w:rsidRDefault="00B12BCE">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6E18B" w14:textId="77777777" w:rsidR="00415C26" w:rsidRDefault="00415C26" w:rsidP="00617E0E">
      <w:r>
        <w:separator/>
      </w:r>
    </w:p>
  </w:footnote>
  <w:footnote w:type="continuationSeparator" w:id="0">
    <w:p w14:paraId="1D595E1E" w14:textId="77777777" w:rsidR="00415C26" w:rsidRDefault="00415C26" w:rsidP="00617E0E">
      <w:r>
        <w:continuationSeparator/>
      </w:r>
    </w:p>
  </w:footnote>
  <w:footnote w:id="1">
    <w:p w14:paraId="0E70B725" w14:textId="77777777" w:rsidR="00B12BCE" w:rsidRPr="005E6646" w:rsidRDefault="00B12BCE">
      <w:pPr>
        <w:pStyle w:val="a8"/>
        <w:rPr>
          <w:sz w:val="18"/>
          <w:szCs w:val="18"/>
        </w:rPr>
      </w:pPr>
      <w:r>
        <w:rPr>
          <w:rStyle w:val="aa"/>
        </w:rPr>
        <w:footnoteRef/>
      </w:r>
      <w:r>
        <w:t xml:space="preserve"> </w:t>
      </w:r>
      <w:r>
        <w:rPr>
          <w:rFonts w:hint="eastAsia"/>
          <w:sz w:val="18"/>
          <w:szCs w:val="18"/>
        </w:rPr>
        <w:t>本</w:t>
      </w:r>
      <w:r w:rsidR="000E0C9E">
        <w:rPr>
          <w:rFonts w:hint="eastAsia"/>
          <w:sz w:val="18"/>
          <w:szCs w:val="18"/>
        </w:rPr>
        <w:t>節</w:t>
      </w:r>
      <w:r>
        <w:rPr>
          <w:rFonts w:hint="eastAsia"/>
          <w:sz w:val="18"/>
          <w:szCs w:val="18"/>
        </w:rPr>
        <w:t>に関して、締約国は、「進歩性」及び「産業上の利用可能性」という用語を、それぞれ、「非自明性」及び「有用性」の用語と同義にみなすことができる。各締約国は、進歩性又は非自明性に関して決定する際に、請求された発明が</w:t>
      </w:r>
      <w:r w:rsidR="000E0C9E">
        <w:rPr>
          <w:rFonts w:hint="eastAsia"/>
          <w:sz w:val="18"/>
          <w:szCs w:val="18"/>
        </w:rPr>
        <w:t>、</w:t>
      </w:r>
      <w:r>
        <w:rPr>
          <w:rFonts w:hint="eastAsia"/>
          <w:sz w:val="18"/>
          <w:szCs w:val="18"/>
        </w:rPr>
        <w:t>先行技術に関</w:t>
      </w:r>
      <w:r w:rsidR="000E0C9E">
        <w:rPr>
          <w:rFonts w:hint="eastAsia"/>
          <w:sz w:val="18"/>
          <w:szCs w:val="18"/>
        </w:rPr>
        <w:t>する</w:t>
      </w:r>
      <w:r>
        <w:rPr>
          <w:rFonts w:hint="eastAsia"/>
          <w:sz w:val="18"/>
          <w:szCs w:val="18"/>
        </w:rPr>
        <w:t>当業者にとって自明であったかどうかを考慮しなければならない。</w:t>
      </w:r>
    </w:p>
  </w:footnote>
  <w:footnote w:id="2">
    <w:p w14:paraId="152EC71C" w14:textId="77777777" w:rsidR="00B12BCE" w:rsidRPr="00733373" w:rsidRDefault="00B12BCE">
      <w:pPr>
        <w:pStyle w:val="a8"/>
        <w:rPr>
          <w:sz w:val="18"/>
          <w:szCs w:val="18"/>
        </w:rPr>
      </w:pPr>
      <w:r w:rsidRPr="00733373">
        <w:rPr>
          <w:rStyle w:val="aa"/>
          <w:sz w:val="18"/>
          <w:szCs w:val="18"/>
        </w:rPr>
        <w:footnoteRef/>
      </w:r>
      <w:r w:rsidRPr="00733373">
        <w:rPr>
          <w:sz w:val="18"/>
          <w:szCs w:val="18"/>
        </w:rPr>
        <w:t xml:space="preserve"> </w:t>
      </w:r>
      <w:r w:rsidRPr="00733373">
        <w:rPr>
          <w:rFonts w:hint="eastAsia"/>
          <w:sz w:val="18"/>
          <w:szCs w:val="18"/>
        </w:rPr>
        <w:t>いずれの締約国も、誤って公開され又は発明者から直接的又は間接的に、出願又は登録に含まれる情報を得た第三者により発明者又は権原の承継</w:t>
      </w:r>
      <w:r w:rsidR="002C1286" w:rsidRPr="00733373">
        <w:rPr>
          <w:rFonts w:hint="eastAsia"/>
          <w:sz w:val="18"/>
          <w:szCs w:val="18"/>
        </w:rPr>
        <w:t>者</w:t>
      </w:r>
      <w:r w:rsidRPr="00733373">
        <w:rPr>
          <w:rFonts w:hint="eastAsia"/>
          <w:sz w:val="18"/>
          <w:szCs w:val="18"/>
        </w:rPr>
        <w:t>の承諾なしに出願されない限り、特許庁が公表した知的財産権の出願又は登録に含まれる情報を無視するように要求されないものとする。</w:t>
      </w:r>
    </w:p>
  </w:footnote>
  <w:footnote w:id="3">
    <w:p w14:paraId="3E992748" w14:textId="77777777" w:rsidR="00B12BCE" w:rsidRPr="00733373" w:rsidRDefault="00B12BCE">
      <w:pPr>
        <w:pStyle w:val="a8"/>
        <w:rPr>
          <w:sz w:val="18"/>
          <w:szCs w:val="18"/>
        </w:rPr>
      </w:pPr>
      <w:r w:rsidRPr="00733373">
        <w:rPr>
          <w:rStyle w:val="aa"/>
          <w:sz w:val="18"/>
          <w:szCs w:val="18"/>
        </w:rPr>
        <w:footnoteRef/>
      </w:r>
      <w:r w:rsidRPr="00733373">
        <w:rPr>
          <w:sz w:val="18"/>
          <w:szCs w:val="18"/>
        </w:rPr>
        <w:t xml:space="preserve"> </w:t>
      </w:r>
      <w:r w:rsidRPr="00733373">
        <w:rPr>
          <w:rFonts w:hint="eastAsia"/>
          <w:sz w:val="18"/>
          <w:szCs w:val="18"/>
        </w:rPr>
        <w:t>厳密には、締約国は、本条の</w:t>
      </w:r>
      <w:r w:rsidR="002C1286" w:rsidRPr="00733373">
        <w:rPr>
          <w:rFonts w:hint="eastAsia"/>
          <w:sz w:val="18"/>
          <w:szCs w:val="18"/>
        </w:rPr>
        <w:t>適用</w:t>
      </w:r>
      <w:r w:rsidRPr="00733373">
        <w:rPr>
          <w:rFonts w:hint="eastAsia"/>
          <w:sz w:val="18"/>
          <w:szCs w:val="18"/>
        </w:rPr>
        <w:t>を、発明者又は共同発明者から直接的又は間接的になされ、得られた開示内容に限定することができる。厳密には、締約国は、本条に関して、特許出願者から直接的又は間接的に得られた情報が、特許出願者から承認を得た、又は</w:t>
      </w:r>
      <w:r w:rsidR="002C1286" w:rsidRPr="00733373">
        <w:rPr>
          <w:rFonts w:hint="eastAsia"/>
          <w:sz w:val="18"/>
          <w:szCs w:val="18"/>
        </w:rPr>
        <w:t>由来</w:t>
      </w:r>
      <w:r w:rsidRPr="00733373">
        <w:rPr>
          <w:rFonts w:hint="eastAsia"/>
          <w:sz w:val="18"/>
          <w:szCs w:val="18"/>
        </w:rPr>
        <w:t>する公開開示に含まれる情報であると規定することができる。</w:t>
      </w:r>
    </w:p>
  </w:footnote>
  <w:footnote w:id="4">
    <w:p w14:paraId="1484D225" w14:textId="77777777" w:rsidR="00B12BCE" w:rsidRPr="00DE3A08" w:rsidRDefault="00B12BCE">
      <w:pPr>
        <w:pStyle w:val="a8"/>
        <w:rPr>
          <w:sz w:val="18"/>
          <w:szCs w:val="18"/>
        </w:rPr>
      </w:pPr>
      <w:r>
        <w:rPr>
          <w:rStyle w:val="aa"/>
        </w:rPr>
        <w:footnoteRef/>
      </w:r>
      <w:r>
        <w:t xml:space="preserve"> </w:t>
      </w:r>
      <w:r>
        <w:rPr>
          <w:rFonts w:hint="eastAsia"/>
          <w:sz w:val="18"/>
          <w:szCs w:val="18"/>
        </w:rPr>
        <w:t>厳密には、締約国は、早期の出願が取り下げられ、放棄され、又は拒絶され、若しくは、後続の出願に対して先行技術ではない場合、特許性のある後続の出願に特許を付与することができる。</w:t>
      </w:r>
    </w:p>
  </w:footnote>
  <w:footnote w:id="5">
    <w:p w14:paraId="467E98E0" w14:textId="77777777" w:rsidR="00B12BCE" w:rsidRPr="00072CB5" w:rsidRDefault="00B12BCE">
      <w:pPr>
        <w:pStyle w:val="a8"/>
        <w:rPr>
          <w:sz w:val="18"/>
          <w:szCs w:val="18"/>
        </w:rPr>
      </w:pPr>
      <w:r>
        <w:rPr>
          <w:rStyle w:val="aa"/>
        </w:rPr>
        <w:footnoteRef/>
      </w:r>
      <w:r>
        <w:t xml:space="preserve"> </w:t>
      </w:r>
      <w:r>
        <w:rPr>
          <w:rFonts w:hint="eastAsia"/>
          <w:sz w:val="18"/>
          <w:szCs w:val="18"/>
        </w:rPr>
        <w:t>締約国は、派生</w:t>
      </w:r>
      <w:r w:rsidR="002C1286">
        <w:rPr>
          <w:rFonts w:hint="eastAsia"/>
          <w:sz w:val="18"/>
          <w:szCs w:val="18"/>
        </w:rPr>
        <w:t>物を含む</w:t>
      </w:r>
      <w:r>
        <w:rPr>
          <w:rFonts w:hint="eastAsia"/>
          <w:sz w:val="18"/>
          <w:szCs w:val="18"/>
        </w:rPr>
        <w:t>場合、当該締約国のための本協定の発効日前の有効な出願日を有する少なくとも一つの請求項を有する出願、又は、当該請求項を含む出願の優先主張を行う出願を含む場合、本条を</w:t>
      </w:r>
      <w:r w:rsidR="002C1286">
        <w:rPr>
          <w:rFonts w:hint="eastAsia"/>
          <w:sz w:val="18"/>
          <w:szCs w:val="18"/>
        </w:rPr>
        <w:t>適用</w:t>
      </w:r>
      <w:r>
        <w:rPr>
          <w:rFonts w:hint="eastAsia"/>
          <w:sz w:val="18"/>
          <w:szCs w:val="18"/>
        </w:rPr>
        <w:t>するように要求されないものとする。</w:t>
      </w:r>
    </w:p>
  </w:footnote>
  <w:footnote w:id="6">
    <w:p w14:paraId="01BBB580" w14:textId="77777777" w:rsidR="00B12BCE" w:rsidRPr="00DE3A08" w:rsidRDefault="00B12BCE">
      <w:pPr>
        <w:pStyle w:val="a8"/>
        <w:rPr>
          <w:sz w:val="18"/>
          <w:szCs w:val="18"/>
        </w:rPr>
      </w:pPr>
      <w:r>
        <w:rPr>
          <w:rStyle w:val="aa"/>
        </w:rPr>
        <w:footnoteRef/>
      </w:r>
      <w:r>
        <w:t xml:space="preserve"> </w:t>
      </w:r>
      <w:r>
        <w:rPr>
          <w:rFonts w:hint="eastAsia"/>
          <w:sz w:val="18"/>
          <w:szCs w:val="18"/>
        </w:rPr>
        <w:t>締約国は、当該補正が出願時点での発明の開示の範囲を超えていないことを規定することができる。</w:t>
      </w:r>
    </w:p>
  </w:footnote>
  <w:footnote w:id="7">
    <w:p w14:paraId="192EA719" w14:textId="77777777" w:rsidR="00B12BCE" w:rsidRPr="00DE3A08" w:rsidRDefault="00B12BCE">
      <w:pPr>
        <w:pStyle w:val="a8"/>
        <w:rPr>
          <w:sz w:val="18"/>
          <w:szCs w:val="18"/>
        </w:rPr>
      </w:pPr>
      <w:r>
        <w:rPr>
          <w:rStyle w:val="aa"/>
        </w:rPr>
        <w:footnoteRef/>
      </w:r>
      <w:r>
        <w:t xml:space="preserve"> </w:t>
      </w:r>
      <w:r>
        <w:rPr>
          <w:rFonts w:hint="eastAsia"/>
          <w:sz w:val="18"/>
          <w:szCs w:val="18"/>
        </w:rPr>
        <w:t>附属書</w:t>
      </w:r>
      <w:r>
        <w:rPr>
          <w:rFonts w:hint="eastAsia"/>
          <w:sz w:val="18"/>
          <w:szCs w:val="18"/>
        </w:rPr>
        <w:t>18-D</w:t>
      </w:r>
      <w:r>
        <w:rPr>
          <w:rFonts w:hint="eastAsia"/>
          <w:sz w:val="18"/>
          <w:szCs w:val="18"/>
        </w:rPr>
        <w:t>は、本項に適用される。</w:t>
      </w:r>
    </w:p>
  </w:footnote>
  <w:footnote w:id="8">
    <w:p w14:paraId="2DCD3B62" w14:textId="77777777" w:rsidR="00B12BCE" w:rsidRPr="00DE3A08" w:rsidRDefault="00B12BCE">
      <w:pPr>
        <w:pStyle w:val="a8"/>
        <w:rPr>
          <w:sz w:val="18"/>
          <w:szCs w:val="18"/>
        </w:rPr>
      </w:pPr>
      <w:r>
        <w:rPr>
          <w:rStyle w:val="aa"/>
        </w:rPr>
        <w:footnoteRef/>
      </w:r>
      <w:r>
        <w:t xml:space="preserve"> </w:t>
      </w:r>
      <w:r>
        <w:rPr>
          <w:rFonts w:hint="eastAsia"/>
          <w:sz w:val="18"/>
          <w:szCs w:val="18"/>
        </w:rPr>
        <w:t>本項に関して、締約国は、事務処理を解釈して、当初の事務処理及び特許権付与時の事務処理を意味するものとすることができる。</w:t>
      </w:r>
    </w:p>
  </w:footnote>
  <w:footnote w:id="9">
    <w:p w14:paraId="356BEC27" w14:textId="77777777" w:rsidR="00B12BCE" w:rsidRPr="00991B5E" w:rsidRDefault="00B12BCE">
      <w:pPr>
        <w:pStyle w:val="a8"/>
        <w:rPr>
          <w:sz w:val="18"/>
          <w:szCs w:val="18"/>
        </w:rPr>
      </w:pPr>
      <w:r>
        <w:rPr>
          <w:rStyle w:val="aa"/>
        </w:rPr>
        <w:footnoteRef/>
      </w:r>
      <w:r>
        <w:t xml:space="preserve"> </w:t>
      </w:r>
      <w:r w:rsidR="00991B5E">
        <w:rPr>
          <w:rFonts w:hint="eastAsia"/>
          <w:sz w:val="18"/>
          <w:szCs w:val="18"/>
        </w:rPr>
        <w:t>締約国は、「直接認容当局に帰さない遅延」を認容当局の裁量又は支配外の遅延として扱うことができる。</w:t>
      </w:r>
    </w:p>
  </w:footnote>
  <w:footnote w:id="10">
    <w:p w14:paraId="084F6DF0" w14:textId="77777777" w:rsidR="002C1286" w:rsidRPr="002C1286" w:rsidRDefault="002C1286">
      <w:pPr>
        <w:pStyle w:val="a8"/>
      </w:pPr>
      <w:r>
        <w:rPr>
          <w:rStyle w:val="aa"/>
        </w:rPr>
        <w:footnoteRef/>
      </w:r>
      <w:r w:rsidR="00991B5E">
        <w:rPr>
          <w:sz w:val="18"/>
          <w:szCs w:val="18"/>
        </w:rPr>
        <w:t xml:space="preserve"> </w:t>
      </w:r>
      <w:r w:rsidR="00991B5E">
        <w:rPr>
          <w:rFonts w:hint="eastAsia"/>
          <w:sz w:val="18"/>
          <w:szCs w:val="18"/>
        </w:rPr>
        <w:t>第</w:t>
      </w:r>
      <w:r w:rsidR="00991B5E">
        <w:rPr>
          <w:rFonts w:hint="eastAsia"/>
          <w:sz w:val="18"/>
          <w:szCs w:val="18"/>
        </w:rPr>
        <w:t>18.10</w:t>
      </w:r>
      <w:r w:rsidR="00991B5E">
        <w:rPr>
          <w:rFonts w:hint="eastAsia"/>
          <w:sz w:val="18"/>
          <w:szCs w:val="18"/>
        </w:rPr>
        <w:t>条（既存の対象事項及び過去の行為についての本協定の適用）にかかわらず、本条項は、当該締約国のための本協定の発効日又は、本協定の署名の</w:t>
      </w:r>
      <w:r w:rsidR="00991B5E">
        <w:rPr>
          <w:rFonts w:hint="eastAsia"/>
          <w:sz w:val="18"/>
          <w:szCs w:val="18"/>
        </w:rPr>
        <w:t>2</w:t>
      </w:r>
      <w:r w:rsidR="00991B5E">
        <w:rPr>
          <w:rFonts w:hint="eastAsia"/>
          <w:sz w:val="18"/>
          <w:szCs w:val="18"/>
        </w:rPr>
        <w:t>年後のいずれか当該締約国にとって遅いときに出願されたすべての特許出願に適用されるものとする。</w:t>
      </w:r>
      <w:r>
        <w:t xml:space="preserve"> </w:t>
      </w:r>
    </w:p>
  </w:footnote>
  <w:footnote w:id="11">
    <w:p w14:paraId="6A393487" w14:textId="77777777" w:rsidR="00B12BCE" w:rsidRPr="00343541" w:rsidRDefault="00B12BCE">
      <w:pPr>
        <w:pStyle w:val="a8"/>
        <w:rPr>
          <w:sz w:val="18"/>
          <w:szCs w:val="18"/>
        </w:rPr>
      </w:pPr>
      <w:r>
        <w:rPr>
          <w:rStyle w:val="aa"/>
        </w:rPr>
        <w:footnoteRef/>
      </w:r>
      <w:r>
        <w:t xml:space="preserve"> </w:t>
      </w:r>
      <w:r w:rsidRPr="00B12BCE">
        <w:rPr>
          <w:rFonts w:hint="eastAsia"/>
          <w:sz w:val="18"/>
          <w:szCs w:val="18"/>
        </w:rPr>
        <w:t>本章に関して、「販売承認」とは、締約国の法律に基づく、「衛生上の承認」と同義である。</w:t>
      </w:r>
    </w:p>
  </w:footnote>
  <w:footnote w:id="12">
    <w:p w14:paraId="2FA0FC8E" w14:textId="77777777" w:rsidR="00B12BCE" w:rsidRPr="00B12BCE" w:rsidRDefault="00B12BCE">
      <w:pPr>
        <w:pStyle w:val="a8"/>
        <w:rPr>
          <w:sz w:val="18"/>
          <w:szCs w:val="18"/>
        </w:rPr>
      </w:pPr>
      <w:r>
        <w:rPr>
          <w:rStyle w:val="aa"/>
        </w:rPr>
        <w:footnoteRef/>
      </w:r>
      <w:r>
        <w:t xml:space="preserve"> </w:t>
      </w:r>
      <w:r>
        <w:rPr>
          <w:rFonts w:hint="eastAsia"/>
          <w:sz w:val="18"/>
          <w:szCs w:val="18"/>
        </w:rPr>
        <w:t>各締約国は、本条の義務が、当該締約国が</w:t>
      </w:r>
      <w:r>
        <w:rPr>
          <w:rFonts w:hint="eastAsia"/>
          <w:sz w:val="18"/>
          <w:szCs w:val="18"/>
        </w:rPr>
        <w:t>(a)</w:t>
      </w:r>
      <w:r>
        <w:rPr>
          <w:rFonts w:hint="eastAsia"/>
          <w:sz w:val="18"/>
          <w:szCs w:val="18"/>
        </w:rPr>
        <w:t>製品の安全性のみ、</w:t>
      </w:r>
      <w:r>
        <w:rPr>
          <w:rFonts w:hint="eastAsia"/>
          <w:sz w:val="18"/>
          <w:szCs w:val="18"/>
        </w:rPr>
        <w:t>(b)</w:t>
      </w:r>
      <w:r>
        <w:rPr>
          <w:rFonts w:hint="eastAsia"/>
          <w:sz w:val="18"/>
          <w:szCs w:val="18"/>
        </w:rPr>
        <w:t>製品の有効性のみ、又は、</w:t>
      </w:r>
      <w:r>
        <w:rPr>
          <w:rFonts w:hint="eastAsia"/>
          <w:sz w:val="18"/>
          <w:szCs w:val="18"/>
        </w:rPr>
        <w:t xml:space="preserve">(c) </w:t>
      </w:r>
      <w:r>
        <w:rPr>
          <w:rFonts w:hint="eastAsia"/>
          <w:sz w:val="18"/>
          <w:szCs w:val="18"/>
        </w:rPr>
        <w:t>その双方に関する非開示の試験データその他のデータの提出を要求する場合に適用されることを確認する。</w:t>
      </w:r>
    </w:p>
  </w:footnote>
  <w:footnote w:id="13">
    <w:p w14:paraId="4E05A170" w14:textId="77777777" w:rsidR="00392F37" w:rsidRPr="00392F37" w:rsidRDefault="00392F37">
      <w:pPr>
        <w:pStyle w:val="a8"/>
        <w:rPr>
          <w:sz w:val="18"/>
          <w:szCs w:val="18"/>
        </w:rPr>
      </w:pPr>
      <w:r>
        <w:rPr>
          <w:rStyle w:val="aa"/>
        </w:rPr>
        <w:footnoteRef/>
      </w:r>
      <w:r>
        <w:t xml:space="preserve"> </w:t>
      </w:r>
      <w:r>
        <w:rPr>
          <w:rFonts w:hint="eastAsia"/>
          <w:sz w:val="18"/>
          <w:szCs w:val="18"/>
        </w:rPr>
        <w:t>厳密には、締約国は、本条に基づき、保護期間を</w:t>
      </w:r>
      <w:r>
        <w:rPr>
          <w:rFonts w:hint="eastAsia"/>
          <w:sz w:val="18"/>
          <w:szCs w:val="18"/>
        </w:rPr>
        <w:t>10</w:t>
      </w:r>
      <w:r>
        <w:rPr>
          <w:rFonts w:hint="eastAsia"/>
          <w:sz w:val="18"/>
          <w:szCs w:val="18"/>
        </w:rPr>
        <w:t>年に制限することができる。</w:t>
      </w:r>
    </w:p>
  </w:footnote>
  <w:footnote w:id="14">
    <w:p w14:paraId="490F14F6" w14:textId="77777777" w:rsidR="00B12BCE" w:rsidRPr="00B12BCE" w:rsidRDefault="00B12BCE">
      <w:pPr>
        <w:pStyle w:val="a8"/>
        <w:rPr>
          <w:sz w:val="18"/>
          <w:szCs w:val="18"/>
        </w:rPr>
      </w:pPr>
      <w:r>
        <w:rPr>
          <w:rStyle w:val="aa"/>
        </w:rPr>
        <w:footnoteRef/>
      </w:r>
      <w:r>
        <w:t xml:space="preserve"> </w:t>
      </w:r>
      <w:r>
        <w:rPr>
          <w:rFonts w:hint="eastAsia"/>
          <w:sz w:val="18"/>
          <w:szCs w:val="18"/>
        </w:rPr>
        <w:t>厳密には、本条に関して、農業用の化学品は、類似の農業用の化学品の販売承認又は当該承認のための申請</w:t>
      </w:r>
      <w:r w:rsidR="002C1286">
        <w:rPr>
          <w:rFonts w:hint="eastAsia"/>
          <w:sz w:val="18"/>
          <w:szCs w:val="18"/>
        </w:rPr>
        <w:t>者</w:t>
      </w:r>
      <w:r>
        <w:rPr>
          <w:rFonts w:hint="eastAsia"/>
          <w:sz w:val="18"/>
          <w:szCs w:val="18"/>
        </w:rPr>
        <w:t>の要請が従前に承認された農業用の化学品又は従前に承認された製品の事前承認の安全性又は有効性に関する非開示の試験データその他のデータに基づく場合、従前に承認された農業用の化学品と「類似で</w:t>
      </w:r>
      <w:r w:rsidR="00392F37">
        <w:rPr>
          <w:rFonts w:hint="eastAsia"/>
          <w:sz w:val="18"/>
          <w:szCs w:val="18"/>
        </w:rPr>
        <w:t>」ある。</w:t>
      </w:r>
    </w:p>
  </w:footnote>
  <w:footnote w:id="15">
    <w:p w14:paraId="62A401F3" w14:textId="77777777" w:rsidR="00392F37" w:rsidRPr="00392F37" w:rsidRDefault="00392F37">
      <w:pPr>
        <w:pStyle w:val="a8"/>
        <w:rPr>
          <w:sz w:val="18"/>
          <w:szCs w:val="18"/>
        </w:rPr>
      </w:pPr>
      <w:r>
        <w:rPr>
          <w:rStyle w:val="aa"/>
        </w:rPr>
        <w:footnoteRef/>
      </w:r>
      <w:r>
        <w:t xml:space="preserve"> </w:t>
      </w:r>
      <w:r>
        <w:rPr>
          <w:rFonts w:hint="eastAsia"/>
          <w:sz w:val="18"/>
          <w:szCs w:val="18"/>
        </w:rPr>
        <w:t>本条に関し、締約国は、「含む」を利用するという意味で用いることができる。厳密には、本条に関して、締約国は、新規の化学成分が一義的に製品の意図された効果の原因であることを要求する場合</w:t>
      </w:r>
      <w:r w:rsidR="00CB040E">
        <w:rPr>
          <w:rFonts w:hint="eastAsia"/>
          <w:sz w:val="18"/>
          <w:szCs w:val="18"/>
        </w:rPr>
        <w:t>に</w:t>
      </w:r>
      <w:r>
        <w:rPr>
          <w:rFonts w:hint="eastAsia"/>
          <w:sz w:val="18"/>
          <w:szCs w:val="18"/>
        </w:rPr>
        <w:t>、「利用する」</w:t>
      </w:r>
      <w:r w:rsidR="00CB040E">
        <w:rPr>
          <w:rFonts w:hint="eastAsia"/>
          <w:sz w:val="18"/>
          <w:szCs w:val="18"/>
        </w:rPr>
        <w:t>を用いることが</w:t>
      </w:r>
      <w:r>
        <w:rPr>
          <w:rFonts w:hint="eastAsia"/>
          <w:sz w:val="18"/>
          <w:szCs w:val="18"/>
        </w:rPr>
        <w:t>できる。</w:t>
      </w:r>
    </w:p>
  </w:footnote>
  <w:footnote w:id="16">
    <w:p w14:paraId="48EBA649" w14:textId="77777777" w:rsidR="00392F37" w:rsidRPr="00392F37" w:rsidRDefault="00392F37">
      <w:pPr>
        <w:pStyle w:val="a8"/>
        <w:rPr>
          <w:sz w:val="18"/>
          <w:szCs w:val="18"/>
        </w:rPr>
      </w:pPr>
      <w:r>
        <w:rPr>
          <w:rStyle w:val="aa"/>
        </w:rPr>
        <w:footnoteRef/>
      </w:r>
      <w:r>
        <w:t xml:space="preserve"> </w:t>
      </w:r>
      <w:r w:rsidR="00AB463B">
        <w:rPr>
          <w:rFonts w:hint="eastAsia"/>
          <w:sz w:val="18"/>
          <w:szCs w:val="18"/>
        </w:rPr>
        <w:t>締約国は、医薬品に関して、又は医薬物質に関して本項の義務に従うことができる。</w:t>
      </w:r>
    </w:p>
  </w:footnote>
  <w:footnote w:id="17">
    <w:p w14:paraId="135724A6" w14:textId="77777777" w:rsidR="00AB463B" w:rsidRPr="00AB463B" w:rsidRDefault="00AB463B">
      <w:pPr>
        <w:pStyle w:val="a8"/>
        <w:rPr>
          <w:sz w:val="18"/>
          <w:szCs w:val="18"/>
        </w:rPr>
      </w:pPr>
      <w:r>
        <w:rPr>
          <w:rStyle w:val="aa"/>
        </w:rPr>
        <w:footnoteRef/>
      </w:r>
      <w:r>
        <w:t xml:space="preserve"> </w:t>
      </w:r>
      <w:r>
        <w:rPr>
          <w:rFonts w:hint="eastAsia"/>
          <w:sz w:val="18"/>
          <w:szCs w:val="18"/>
        </w:rPr>
        <w:t>厳密には、締約国は、販売承認過程の結果、有効な特許期間の不合理な短縮を補うために追加の独自の保護期間を利用可能にすることができる。</w:t>
      </w:r>
    </w:p>
  </w:footnote>
  <w:footnote w:id="18">
    <w:p w14:paraId="1125BDE3" w14:textId="77777777" w:rsidR="00531E34" w:rsidRDefault="00531E34">
      <w:pPr>
        <w:pStyle w:val="a8"/>
      </w:pPr>
      <w:r>
        <w:rPr>
          <w:rStyle w:val="aa"/>
        </w:rPr>
        <w:footnoteRef/>
      </w:r>
      <w:r>
        <w:rPr>
          <w:rFonts w:hint="eastAsia"/>
          <w:sz w:val="18"/>
          <w:szCs w:val="18"/>
        </w:rPr>
        <w:t>第</w:t>
      </w:r>
      <w:r>
        <w:rPr>
          <w:rFonts w:hint="eastAsia"/>
          <w:sz w:val="18"/>
          <w:szCs w:val="18"/>
        </w:rPr>
        <w:t>18.10</w:t>
      </w:r>
      <w:r>
        <w:rPr>
          <w:rFonts w:hint="eastAsia"/>
          <w:sz w:val="18"/>
          <w:szCs w:val="18"/>
        </w:rPr>
        <w:t>条（既存の対象事項及び過去の行為についての本協定の適用）にかかわらず、本条は、当該締約国のための本条の発効日後になされた販売承認のすべての申請に適用されるものとする。</w:t>
      </w:r>
    </w:p>
  </w:footnote>
  <w:footnote w:id="19">
    <w:p w14:paraId="6FF26F2D" w14:textId="77777777" w:rsidR="00531E34" w:rsidRPr="00531E34" w:rsidRDefault="00531E34">
      <w:pPr>
        <w:pStyle w:val="a8"/>
        <w:rPr>
          <w:sz w:val="18"/>
          <w:szCs w:val="18"/>
        </w:rPr>
      </w:pPr>
      <w:r>
        <w:rPr>
          <w:rStyle w:val="aa"/>
        </w:rPr>
        <w:footnoteRef/>
      </w:r>
      <w:r>
        <w:t xml:space="preserve"> </w:t>
      </w:r>
      <w:r>
        <w:rPr>
          <w:rFonts w:hint="eastAsia"/>
          <w:sz w:val="18"/>
          <w:szCs w:val="18"/>
        </w:rPr>
        <w:t>本附属書</w:t>
      </w:r>
      <w:r>
        <w:rPr>
          <w:rFonts w:hint="eastAsia"/>
          <w:sz w:val="18"/>
          <w:szCs w:val="18"/>
        </w:rPr>
        <w:t>18-D</w:t>
      </w:r>
      <w:r>
        <w:rPr>
          <w:rFonts w:hint="eastAsia"/>
          <w:sz w:val="18"/>
          <w:szCs w:val="18"/>
        </w:rPr>
        <w:t>は、本項に適用される。</w:t>
      </w:r>
    </w:p>
  </w:footnote>
  <w:footnote w:id="20">
    <w:p w14:paraId="429FF6A7" w14:textId="77777777" w:rsidR="00531E34" w:rsidRPr="00F015B1" w:rsidRDefault="00531E34">
      <w:pPr>
        <w:pStyle w:val="a8"/>
        <w:rPr>
          <w:sz w:val="18"/>
          <w:szCs w:val="18"/>
        </w:rPr>
      </w:pPr>
      <w:r>
        <w:rPr>
          <w:rStyle w:val="aa"/>
        </w:rPr>
        <w:footnoteRef/>
      </w:r>
      <w:r>
        <w:t xml:space="preserve"> </w:t>
      </w:r>
      <w:r w:rsidR="00F015B1">
        <w:rPr>
          <w:rFonts w:hint="eastAsia"/>
          <w:sz w:val="18"/>
          <w:szCs w:val="18"/>
        </w:rPr>
        <w:t>厳密には、第</w:t>
      </w:r>
      <w:r w:rsidR="00F015B1">
        <w:rPr>
          <w:rFonts w:hint="eastAsia"/>
          <w:sz w:val="18"/>
          <w:szCs w:val="18"/>
        </w:rPr>
        <w:t>18.40</w:t>
      </w:r>
      <w:r w:rsidR="00F015B1">
        <w:rPr>
          <w:rFonts w:hint="eastAsia"/>
          <w:sz w:val="18"/>
          <w:szCs w:val="18"/>
        </w:rPr>
        <w:t>条（例外）と</w:t>
      </w:r>
      <w:r w:rsidR="00CB040E">
        <w:rPr>
          <w:rFonts w:hint="eastAsia"/>
          <w:sz w:val="18"/>
          <w:szCs w:val="18"/>
        </w:rPr>
        <w:t>合致して</w:t>
      </w:r>
      <w:r w:rsidR="00F015B1">
        <w:rPr>
          <w:rFonts w:hint="eastAsia"/>
          <w:sz w:val="18"/>
          <w:szCs w:val="18"/>
        </w:rPr>
        <w:t>、いずれも、規制上の</w:t>
      </w:r>
      <w:r w:rsidR="00CB040E">
        <w:rPr>
          <w:rFonts w:hint="eastAsia"/>
          <w:sz w:val="18"/>
          <w:szCs w:val="18"/>
        </w:rPr>
        <w:t>審査</w:t>
      </w:r>
      <w:r w:rsidR="00F015B1">
        <w:rPr>
          <w:rFonts w:hint="eastAsia"/>
          <w:sz w:val="18"/>
          <w:szCs w:val="18"/>
        </w:rPr>
        <w:t>の例外が、当該締約国、別の国又はその双方での規制上の</w:t>
      </w:r>
      <w:r w:rsidR="00CB040E">
        <w:rPr>
          <w:rFonts w:hint="eastAsia"/>
          <w:sz w:val="18"/>
          <w:szCs w:val="18"/>
        </w:rPr>
        <w:t>審査に関して</w:t>
      </w:r>
      <w:r w:rsidR="00F015B1">
        <w:rPr>
          <w:rFonts w:hint="eastAsia"/>
          <w:sz w:val="18"/>
          <w:szCs w:val="18"/>
        </w:rPr>
        <w:t>適用されると定めることを</w:t>
      </w:r>
      <w:r w:rsidR="00CB040E">
        <w:rPr>
          <w:rFonts w:hint="eastAsia"/>
          <w:sz w:val="18"/>
          <w:szCs w:val="18"/>
        </w:rPr>
        <w:t>締約国に</w:t>
      </w:r>
      <w:r w:rsidR="00F015B1">
        <w:rPr>
          <w:rFonts w:hint="eastAsia"/>
          <w:sz w:val="18"/>
          <w:szCs w:val="18"/>
        </w:rPr>
        <w:t>禁止するものではない。</w:t>
      </w:r>
    </w:p>
  </w:footnote>
  <w:footnote w:id="21">
    <w:p w14:paraId="0DC62E53" w14:textId="77777777" w:rsidR="00F015B1" w:rsidRPr="00F015B1" w:rsidRDefault="00F015B1">
      <w:pPr>
        <w:pStyle w:val="a8"/>
        <w:rPr>
          <w:sz w:val="18"/>
          <w:szCs w:val="18"/>
        </w:rPr>
      </w:pPr>
      <w:r>
        <w:rPr>
          <w:rStyle w:val="aa"/>
        </w:rPr>
        <w:footnoteRef/>
      </w:r>
      <w:r>
        <w:t xml:space="preserve"> </w:t>
      </w:r>
      <w:r>
        <w:rPr>
          <w:rFonts w:hint="eastAsia"/>
          <w:sz w:val="18"/>
          <w:szCs w:val="18"/>
        </w:rPr>
        <w:t>附属書</w:t>
      </w:r>
      <w:r>
        <w:rPr>
          <w:rFonts w:hint="eastAsia"/>
          <w:sz w:val="18"/>
          <w:szCs w:val="18"/>
        </w:rPr>
        <w:t>18-B</w:t>
      </w:r>
      <w:r>
        <w:rPr>
          <w:rFonts w:hint="eastAsia"/>
          <w:sz w:val="18"/>
          <w:szCs w:val="18"/>
        </w:rPr>
        <w:t>及び附属書</w:t>
      </w:r>
      <w:r>
        <w:rPr>
          <w:rFonts w:hint="eastAsia"/>
          <w:sz w:val="18"/>
          <w:szCs w:val="18"/>
        </w:rPr>
        <w:t>18-</w:t>
      </w:r>
      <w:r>
        <w:rPr>
          <w:sz w:val="18"/>
          <w:szCs w:val="18"/>
        </w:rPr>
        <w:t>C</w:t>
      </w:r>
      <w:r>
        <w:rPr>
          <w:rFonts w:hint="eastAsia"/>
          <w:sz w:val="18"/>
          <w:szCs w:val="18"/>
        </w:rPr>
        <w:t>は、本条の第</w:t>
      </w:r>
      <w:r>
        <w:rPr>
          <w:rFonts w:hint="eastAsia"/>
          <w:sz w:val="18"/>
          <w:szCs w:val="18"/>
        </w:rPr>
        <w:t>1</w:t>
      </w:r>
      <w:r>
        <w:rPr>
          <w:rFonts w:hint="eastAsia"/>
          <w:sz w:val="18"/>
          <w:szCs w:val="18"/>
        </w:rPr>
        <w:t>項及び第</w:t>
      </w:r>
      <w:r>
        <w:rPr>
          <w:rFonts w:hint="eastAsia"/>
          <w:sz w:val="18"/>
          <w:szCs w:val="18"/>
        </w:rPr>
        <w:t>2</w:t>
      </w:r>
      <w:r>
        <w:rPr>
          <w:rFonts w:hint="eastAsia"/>
          <w:sz w:val="18"/>
          <w:szCs w:val="18"/>
        </w:rPr>
        <w:t>項に適用される。</w:t>
      </w:r>
    </w:p>
  </w:footnote>
  <w:footnote w:id="22">
    <w:p w14:paraId="06EBEED6" w14:textId="77777777" w:rsidR="000A736E" w:rsidRPr="00F015B1" w:rsidRDefault="00F015B1">
      <w:pPr>
        <w:pStyle w:val="a8"/>
        <w:rPr>
          <w:sz w:val="18"/>
          <w:szCs w:val="18"/>
        </w:rPr>
      </w:pPr>
      <w:r>
        <w:rPr>
          <w:rStyle w:val="aa"/>
        </w:rPr>
        <w:footnoteRef/>
      </w:r>
      <w:r>
        <w:t xml:space="preserve"> </w:t>
      </w:r>
      <w:r>
        <w:rPr>
          <w:rFonts w:hint="eastAsia"/>
          <w:sz w:val="18"/>
          <w:szCs w:val="18"/>
        </w:rPr>
        <w:t>各締約国は、本条及び第</w:t>
      </w:r>
      <w:r>
        <w:rPr>
          <w:rFonts w:hint="eastAsia"/>
          <w:sz w:val="18"/>
          <w:szCs w:val="18"/>
        </w:rPr>
        <w:t>18.52</w:t>
      </w:r>
      <w:r>
        <w:rPr>
          <w:rFonts w:hint="eastAsia"/>
          <w:sz w:val="18"/>
          <w:szCs w:val="18"/>
        </w:rPr>
        <w:t>条（生物製剤）</w:t>
      </w:r>
      <w:r w:rsidR="000A736E">
        <w:rPr>
          <w:rFonts w:hint="eastAsia"/>
          <w:sz w:val="18"/>
          <w:szCs w:val="18"/>
        </w:rPr>
        <w:t>の義務</w:t>
      </w:r>
      <w:r w:rsidR="005319D0">
        <w:rPr>
          <w:rFonts w:hint="eastAsia"/>
          <w:sz w:val="18"/>
          <w:szCs w:val="18"/>
        </w:rPr>
        <w:t>が</w:t>
      </w:r>
      <w:r w:rsidR="000A736E">
        <w:rPr>
          <w:rFonts w:hint="eastAsia"/>
          <w:sz w:val="18"/>
          <w:szCs w:val="18"/>
        </w:rPr>
        <w:t>、当該締約国が</w:t>
      </w:r>
      <w:r w:rsidR="000A736E">
        <w:rPr>
          <w:rFonts w:hint="eastAsia"/>
          <w:sz w:val="18"/>
          <w:szCs w:val="18"/>
        </w:rPr>
        <w:t>(a)</w:t>
      </w:r>
      <w:r w:rsidR="000A736E">
        <w:rPr>
          <w:rFonts w:hint="eastAsia"/>
          <w:sz w:val="18"/>
          <w:szCs w:val="18"/>
        </w:rPr>
        <w:t>製品の安全性</w:t>
      </w:r>
      <w:r w:rsidR="005319D0">
        <w:rPr>
          <w:rFonts w:hint="eastAsia"/>
          <w:sz w:val="18"/>
          <w:szCs w:val="18"/>
        </w:rPr>
        <w:t>のみ</w:t>
      </w:r>
      <w:r w:rsidR="000A736E">
        <w:rPr>
          <w:rFonts w:hint="eastAsia"/>
          <w:sz w:val="18"/>
          <w:szCs w:val="18"/>
        </w:rPr>
        <w:t>、</w:t>
      </w:r>
      <w:r w:rsidR="000A736E">
        <w:rPr>
          <w:rFonts w:hint="eastAsia"/>
          <w:sz w:val="18"/>
          <w:szCs w:val="18"/>
        </w:rPr>
        <w:t>(b)</w:t>
      </w:r>
      <w:r w:rsidR="000A736E">
        <w:rPr>
          <w:rFonts w:hint="eastAsia"/>
          <w:sz w:val="18"/>
          <w:szCs w:val="18"/>
        </w:rPr>
        <w:t>製品の有効性</w:t>
      </w:r>
      <w:r w:rsidR="005319D0">
        <w:rPr>
          <w:rFonts w:hint="eastAsia"/>
          <w:sz w:val="18"/>
          <w:szCs w:val="18"/>
        </w:rPr>
        <w:t>のみ</w:t>
      </w:r>
      <w:r w:rsidR="000A736E">
        <w:rPr>
          <w:rFonts w:hint="eastAsia"/>
          <w:sz w:val="18"/>
          <w:szCs w:val="18"/>
        </w:rPr>
        <w:t>又は</w:t>
      </w:r>
      <w:r w:rsidR="000A736E">
        <w:rPr>
          <w:rFonts w:hint="eastAsia"/>
          <w:sz w:val="18"/>
          <w:szCs w:val="18"/>
        </w:rPr>
        <w:t>(c)</w:t>
      </w:r>
      <w:r w:rsidR="000A736E">
        <w:rPr>
          <w:rFonts w:hint="eastAsia"/>
          <w:sz w:val="18"/>
          <w:szCs w:val="18"/>
        </w:rPr>
        <w:t>その双方に関する非開示の試験データその他のデータの提出を要求する場合に適用される</w:t>
      </w:r>
      <w:r w:rsidR="005319D0">
        <w:rPr>
          <w:rFonts w:hint="eastAsia"/>
          <w:sz w:val="18"/>
          <w:szCs w:val="18"/>
        </w:rPr>
        <w:t>ことを確認する</w:t>
      </w:r>
      <w:r w:rsidR="000A736E">
        <w:rPr>
          <w:rFonts w:hint="eastAsia"/>
          <w:sz w:val="18"/>
          <w:szCs w:val="18"/>
        </w:rPr>
        <w:t>。</w:t>
      </w:r>
    </w:p>
  </w:footnote>
  <w:footnote w:id="23">
    <w:p w14:paraId="24364290" w14:textId="77777777" w:rsidR="000A736E" w:rsidRPr="009D3AA5" w:rsidRDefault="000A736E">
      <w:pPr>
        <w:pStyle w:val="a8"/>
        <w:rPr>
          <w:sz w:val="18"/>
          <w:szCs w:val="18"/>
        </w:rPr>
      </w:pPr>
      <w:r>
        <w:rPr>
          <w:rStyle w:val="aa"/>
        </w:rPr>
        <w:footnoteRef/>
      </w:r>
      <w:r>
        <w:t xml:space="preserve"> </w:t>
      </w:r>
      <w:r>
        <w:rPr>
          <w:rFonts w:hint="eastAsia"/>
          <w:sz w:val="18"/>
          <w:szCs w:val="18"/>
        </w:rPr>
        <w:t>厳密には、締約国は、第</w:t>
      </w:r>
      <w:r>
        <w:rPr>
          <w:rFonts w:hint="eastAsia"/>
          <w:sz w:val="18"/>
          <w:szCs w:val="18"/>
        </w:rPr>
        <w:t>1</w:t>
      </w:r>
      <w:r>
        <w:rPr>
          <w:rFonts w:hint="eastAsia"/>
          <w:sz w:val="18"/>
          <w:szCs w:val="18"/>
        </w:rPr>
        <w:t>項に基づき保護期間を</w:t>
      </w:r>
      <w:r>
        <w:rPr>
          <w:rFonts w:hint="eastAsia"/>
          <w:sz w:val="18"/>
          <w:szCs w:val="18"/>
        </w:rPr>
        <w:t>5</w:t>
      </w:r>
      <w:r>
        <w:rPr>
          <w:rFonts w:hint="eastAsia"/>
          <w:sz w:val="18"/>
          <w:szCs w:val="18"/>
        </w:rPr>
        <w:t>年に、</w:t>
      </w:r>
      <w:r w:rsidR="009D3AA5">
        <w:rPr>
          <w:rFonts w:hint="eastAsia"/>
          <w:sz w:val="18"/>
          <w:szCs w:val="18"/>
        </w:rPr>
        <w:t>第</w:t>
      </w:r>
      <w:r w:rsidR="009D3AA5">
        <w:rPr>
          <w:rFonts w:hint="eastAsia"/>
          <w:sz w:val="18"/>
          <w:szCs w:val="18"/>
        </w:rPr>
        <w:t>18.</w:t>
      </w:r>
      <w:r w:rsidR="009D3AA5">
        <w:rPr>
          <w:sz w:val="18"/>
          <w:szCs w:val="18"/>
        </w:rPr>
        <w:t>52.1</w:t>
      </w:r>
      <w:r w:rsidR="009D3AA5">
        <w:rPr>
          <w:rFonts w:hint="eastAsia"/>
          <w:sz w:val="18"/>
          <w:szCs w:val="18"/>
        </w:rPr>
        <w:t>(</w:t>
      </w:r>
      <w:r w:rsidR="009D3AA5">
        <w:rPr>
          <w:sz w:val="18"/>
          <w:szCs w:val="18"/>
        </w:rPr>
        <w:t>a)</w:t>
      </w:r>
      <w:r w:rsidR="009D3AA5">
        <w:rPr>
          <w:rFonts w:hint="eastAsia"/>
          <w:sz w:val="18"/>
          <w:szCs w:val="18"/>
        </w:rPr>
        <w:t>条</w:t>
      </w:r>
      <w:r w:rsidR="009D3AA5">
        <w:rPr>
          <w:sz w:val="18"/>
          <w:szCs w:val="18"/>
        </w:rPr>
        <w:t>(</w:t>
      </w:r>
      <w:r w:rsidR="009D3AA5">
        <w:rPr>
          <w:rFonts w:hint="eastAsia"/>
          <w:sz w:val="18"/>
          <w:szCs w:val="18"/>
        </w:rPr>
        <w:t>生物製剤</w:t>
      </w:r>
      <w:r w:rsidR="009D3AA5">
        <w:rPr>
          <w:rFonts w:hint="eastAsia"/>
          <w:sz w:val="18"/>
          <w:szCs w:val="18"/>
        </w:rPr>
        <w:t>)</w:t>
      </w:r>
      <w:r w:rsidR="009D3AA5">
        <w:rPr>
          <w:rFonts w:hint="eastAsia"/>
          <w:sz w:val="18"/>
          <w:szCs w:val="18"/>
        </w:rPr>
        <w:t>に基づき保護期間を</w:t>
      </w:r>
      <w:r w:rsidR="009D3AA5">
        <w:rPr>
          <w:rFonts w:hint="eastAsia"/>
          <w:sz w:val="18"/>
          <w:szCs w:val="18"/>
        </w:rPr>
        <w:t>8</w:t>
      </w:r>
      <w:r w:rsidR="009D3AA5">
        <w:rPr>
          <w:rFonts w:hint="eastAsia"/>
          <w:sz w:val="18"/>
          <w:szCs w:val="18"/>
        </w:rPr>
        <w:t>年に制限することができる。</w:t>
      </w:r>
    </w:p>
  </w:footnote>
  <w:footnote w:id="24">
    <w:p w14:paraId="50A45857" w14:textId="77777777" w:rsidR="005319D0" w:rsidRPr="005319D0" w:rsidRDefault="005319D0">
      <w:pPr>
        <w:pStyle w:val="a8"/>
      </w:pPr>
      <w:r>
        <w:rPr>
          <w:rStyle w:val="aa"/>
        </w:rPr>
        <w:footnoteRef/>
      </w:r>
      <w:r w:rsidRPr="000A736E">
        <w:rPr>
          <w:rFonts w:hint="eastAsia"/>
          <w:sz w:val="18"/>
          <w:szCs w:val="18"/>
        </w:rPr>
        <w:t>厳密には、本</w:t>
      </w:r>
      <w:r>
        <w:rPr>
          <w:rFonts w:hint="eastAsia"/>
          <w:sz w:val="18"/>
          <w:szCs w:val="18"/>
        </w:rPr>
        <w:t>節</w:t>
      </w:r>
      <w:r w:rsidRPr="000A736E">
        <w:rPr>
          <w:rFonts w:hint="eastAsia"/>
          <w:sz w:val="18"/>
          <w:szCs w:val="18"/>
        </w:rPr>
        <w:t>に関して、</w:t>
      </w:r>
      <w:r>
        <w:rPr>
          <w:rFonts w:hint="eastAsia"/>
          <w:sz w:val="18"/>
          <w:szCs w:val="18"/>
        </w:rPr>
        <w:t>医薬品</w:t>
      </w:r>
      <w:r w:rsidRPr="000A736E">
        <w:rPr>
          <w:rFonts w:hint="eastAsia"/>
          <w:sz w:val="18"/>
          <w:szCs w:val="18"/>
        </w:rPr>
        <w:t>は、類似の</w:t>
      </w:r>
      <w:r>
        <w:rPr>
          <w:rFonts w:hint="eastAsia"/>
          <w:sz w:val="18"/>
          <w:szCs w:val="18"/>
        </w:rPr>
        <w:t>医薬品</w:t>
      </w:r>
      <w:r w:rsidRPr="000A736E">
        <w:rPr>
          <w:rFonts w:hint="eastAsia"/>
          <w:sz w:val="18"/>
          <w:szCs w:val="18"/>
        </w:rPr>
        <w:t>の販売承認又は当該承認のための申請</w:t>
      </w:r>
      <w:r>
        <w:rPr>
          <w:rFonts w:hint="eastAsia"/>
          <w:sz w:val="18"/>
          <w:szCs w:val="18"/>
        </w:rPr>
        <w:t>者</w:t>
      </w:r>
      <w:r w:rsidRPr="000A736E">
        <w:rPr>
          <w:rFonts w:hint="eastAsia"/>
          <w:sz w:val="18"/>
          <w:szCs w:val="18"/>
        </w:rPr>
        <w:t>の要請が従前に承認された</w:t>
      </w:r>
      <w:r>
        <w:rPr>
          <w:rFonts w:hint="eastAsia"/>
          <w:sz w:val="18"/>
          <w:szCs w:val="18"/>
        </w:rPr>
        <w:t>医薬品</w:t>
      </w:r>
      <w:r w:rsidRPr="000A736E">
        <w:rPr>
          <w:rFonts w:hint="eastAsia"/>
          <w:sz w:val="18"/>
          <w:szCs w:val="18"/>
        </w:rPr>
        <w:t>又は従前に承認された製品の事前承認の安全性又は有効性に関する非開示の試験データその他のデータに基づく場合、従前に承認された</w:t>
      </w:r>
      <w:r>
        <w:rPr>
          <w:rFonts w:hint="eastAsia"/>
          <w:sz w:val="18"/>
          <w:szCs w:val="18"/>
        </w:rPr>
        <w:t>医薬品</w:t>
      </w:r>
      <w:r w:rsidRPr="000A736E">
        <w:rPr>
          <w:rFonts w:hint="eastAsia"/>
          <w:sz w:val="18"/>
          <w:szCs w:val="18"/>
        </w:rPr>
        <w:t>と「類似で」ある。</w:t>
      </w:r>
    </w:p>
  </w:footnote>
  <w:footnote w:id="25">
    <w:p w14:paraId="4BDDED21" w14:textId="77777777" w:rsidR="001F2308" w:rsidRPr="001F2308" w:rsidRDefault="001F2308">
      <w:pPr>
        <w:pStyle w:val="a8"/>
        <w:rPr>
          <w:sz w:val="18"/>
          <w:szCs w:val="18"/>
        </w:rPr>
      </w:pPr>
      <w:r>
        <w:rPr>
          <w:rStyle w:val="aa"/>
        </w:rPr>
        <w:footnoteRef/>
      </w:r>
      <w:r>
        <w:t xml:space="preserve"> </w:t>
      </w:r>
      <w:r>
        <w:rPr>
          <w:rFonts w:hint="eastAsia"/>
          <w:sz w:val="18"/>
          <w:szCs w:val="18"/>
        </w:rPr>
        <w:t>附属書</w:t>
      </w:r>
      <w:r>
        <w:rPr>
          <w:rFonts w:hint="eastAsia"/>
          <w:sz w:val="18"/>
          <w:szCs w:val="18"/>
        </w:rPr>
        <w:t>18-</w:t>
      </w:r>
      <w:r>
        <w:rPr>
          <w:sz w:val="18"/>
          <w:szCs w:val="18"/>
        </w:rPr>
        <w:t>D</w:t>
      </w:r>
      <w:r>
        <w:rPr>
          <w:rFonts w:hint="eastAsia"/>
          <w:sz w:val="18"/>
          <w:szCs w:val="18"/>
        </w:rPr>
        <w:t>は、本号に適用される。</w:t>
      </w:r>
    </w:p>
  </w:footnote>
  <w:footnote w:id="26">
    <w:p w14:paraId="1BDED791" w14:textId="77777777" w:rsidR="001F2308" w:rsidRPr="001F2308" w:rsidRDefault="001F2308">
      <w:pPr>
        <w:pStyle w:val="a8"/>
        <w:rPr>
          <w:sz w:val="18"/>
          <w:szCs w:val="18"/>
        </w:rPr>
      </w:pPr>
      <w:r>
        <w:rPr>
          <w:rStyle w:val="aa"/>
        </w:rPr>
        <w:footnoteRef/>
      </w:r>
      <w:r>
        <w:t xml:space="preserve"> </w:t>
      </w:r>
      <w:r>
        <w:rPr>
          <w:rFonts w:hint="eastAsia"/>
          <w:sz w:val="18"/>
          <w:szCs w:val="18"/>
        </w:rPr>
        <w:t>第</w:t>
      </w:r>
      <w:r>
        <w:rPr>
          <w:rFonts w:hint="eastAsia"/>
          <w:sz w:val="18"/>
          <w:szCs w:val="18"/>
        </w:rPr>
        <w:t>1</w:t>
      </w:r>
      <w:r>
        <w:rPr>
          <w:rFonts w:hint="eastAsia"/>
          <w:sz w:val="18"/>
          <w:szCs w:val="18"/>
        </w:rPr>
        <w:t>項により少なくとも</w:t>
      </w:r>
      <w:r>
        <w:rPr>
          <w:rFonts w:hint="eastAsia"/>
          <w:sz w:val="18"/>
          <w:szCs w:val="18"/>
        </w:rPr>
        <w:t>8</w:t>
      </w:r>
      <w:r>
        <w:rPr>
          <w:rFonts w:hint="eastAsia"/>
          <w:sz w:val="18"/>
          <w:szCs w:val="18"/>
        </w:rPr>
        <w:t>年の保護期間を</w:t>
      </w:r>
      <w:r w:rsidR="005319D0">
        <w:rPr>
          <w:rFonts w:hint="eastAsia"/>
          <w:sz w:val="18"/>
          <w:szCs w:val="18"/>
        </w:rPr>
        <w:t>定めた</w:t>
      </w:r>
      <w:r>
        <w:rPr>
          <w:rFonts w:hint="eastAsia"/>
          <w:sz w:val="18"/>
          <w:szCs w:val="18"/>
        </w:rPr>
        <w:t>締約国は、第</w:t>
      </w:r>
      <w:r>
        <w:rPr>
          <w:rFonts w:hint="eastAsia"/>
          <w:sz w:val="18"/>
          <w:szCs w:val="18"/>
        </w:rPr>
        <w:t>2</w:t>
      </w:r>
      <w:r>
        <w:rPr>
          <w:rFonts w:hint="eastAsia"/>
          <w:sz w:val="18"/>
          <w:szCs w:val="18"/>
        </w:rPr>
        <w:t>項の適用を要求されない。</w:t>
      </w:r>
    </w:p>
  </w:footnote>
  <w:footnote w:id="27">
    <w:p w14:paraId="4F00A194" w14:textId="77777777" w:rsidR="001F2308" w:rsidRPr="001F2308" w:rsidRDefault="001F2308">
      <w:pPr>
        <w:pStyle w:val="a8"/>
        <w:rPr>
          <w:sz w:val="18"/>
          <w:szCs w:val="18"/>
        </w:rPr>
      </w:pPr>
      <w:r>
        <w:rPr>
          <w:rStyle w:val="aa"/>
        </w:rPr>
        <w:footnoteRef/>
      </w:r>
      <w:r>
        <w:t xml:space="preserve"> </w:t>
      </w:r>
      <w:r>
        <w:rPr>
          <w:rFonts w:hint="eastAsia"/>
          <w:sz w:val="18"/>
          <w:szCs w:val="18"/>
        </w:rPr>
        <w:t>第</w:t>
      </w:r>
      <w:r>
        <w:rPr>
          <w:rFonts w:hint="eastAsia"/>
          <w:sz w:val="18"/>
          <w:szCs w:val="18"/>
        </w:rPr>
        <w:t>18.50.2(b)</w:t>
      </w:r>
      <w:r>
        <w:rPr>
          <w:rFonts w:hint="eastAsia"/>
          <w:sz w:val="18"/>
          <w:szCs w:val="18"/>
        </w:rPr>
        <w:t>条（非開示試験データその他のデータの保護）に関して、締約国は、従前に承認されていない化学成分に関する安全性及び有効性に関する非開示の試験データその他のデータのみを保護することを選択することができる。</w:t>
      </w:r>
    </w:p>
  </w:footnote>
  <w:footnote w:id="28">
    <w:p w14:paraId="664384AD" w14:textId="77777777" w:rsidR="00C56766" w:rsidRPr="00C56766" w:rsidRDefault="00C56766">
      <w:pPr>
        <w:pStyle w:val="a8"/>
        <w:rPr>
          <w:sz w:val="18"/>
          <w:szCs w:val="18"/>
        </w:rPr>
      </w:pPr>
      <w:r>
        <w:rPr>
          <w:rStyle w:val="aa"/>
        </w:rPr>
        <w:footnoteRef/>
      </w:r>
      <w:r>
        <w:rPr>
          <w:rFonts w:hint="eastAsia"/>
          <w:sz w:val="18"/>
          <w:szCs w:val="18"/>
        </w:rPr>
        <w:t>厳密には、本条に関して、締約国は、「特許保有者」に特許ライセンシー又は販売承認を付与された保有者を含めると定めることができる。</w:t>
      </w:r>
    </w:p>
  </w:footnote>
  <w:footnote w:id="29">
    <w:p w14:paraId="4745DFDA" w14:textId="77777777" w:rsidR="00C56766" w:rsidRPr="00C56766" w:rsidRDefault="00C56766">
      <w:pPr>
        <w:pStyle w:val="a8"/>
        <w:rPr>
          <w:sz w:val="18"/>
          <w:szCs w:val="18"/>
        </w:rPr>
      </w:pPr>
      <w:r>
        <w:rPr>
          <w:rStyle w:val="aa"/>
        </w:rPr>
        <w:footnoteRef/>
      </w:r>
      <w:r>
        <w:t xml:space="preserve"> </w:t>
      </w:r>
      <w:r>
        <w:rPr>
          <w:rFonts w:hint="eastAsia"/>
          <w:sz w:val="18"/>
          <w:szCs w:val="18"/>
        </w:rPr>
        <w:t>第</w:t>
      </w:r>
      <w:r>
        <w:rPr>
          <w:rFonts w:hint="eastAsia"/>
          <w:sz w:val="18"/>
          <w:szCs w:val="18"/>
        </w:rPr>
        <w:t>1(b)</w:t>
      </w:r>
      <w:r w:rsidR="005319D0">
        <w:rPr>
          <w:rFonts w:hint="eastAsia"/>
          <w:sz w:val="18"/>
          <w:szCs w:val="18"/>
        </w:rPr>
        <w:t>項</w:t>
      </w:r>
      <w:r>
        <w:rPr>
          <w:rFonts w:hint="eastAsia"/>
          <w:sz w:val="18"/>
          <w:szCs w:val="18"/>
        </w:rPr>
        <w:t>に関して、締約国は、締約国が運用し、附属書</w:t>
      </w:r>
      <w:r>
        <w:rPr>
          <w:rFonts w:hint="eastAsia"/>
          <w:sz w:val="18"/>
          <w:szCs w:val="18"/>
        </w:rPr>
        <w:t>26-A</w:t>
      </w:r>
      <w:r>
        <w:rPr>
          <w:rFonts w:hint="eastAsia"/>
          <w:sz w:val="18"/>
          <w:szCs w:val="18"/>
        </w:rPr>
        <w:t>（医薬品及び医療機器のための透明性及び手続の公正）の別表に記載される国内の保健医療プログラム</w:t>
      </w:r>
      <w:r w:rsidR="00BF76A6">
        <w:rPr>
          <w:rFonts w:hint="eastAsia"/>
          <w:sz w:val="18"/>
          <w:szCs w:val="18"/>
        </w:rPr>
        <w:t>に関する医薬品の償還のために収載するときに開始したものとして「販売」を扱うことができる。</w:t>
      </w:r>
    </w:p>
  </w:footnote>
  <w:footnote w:id="30">
    <w:p w14:paraId="5EA98376" w14:textId="77777777" w:rsidR="00DD0269" w:rsidRPr="00DD0269" w:rsidRDefault="00DD0269">
      <w:pPr>
        <w:pStyle w:val="a8"/>
        <w:rPr>
          <w:sz w:val="18"/>
          <w:szCs w:val="18"/>
        </w:rPr>
      </w:pPr>
      <w:r>
        <w:rPr>
          <w:rStyle w:val="aa"/>
        </w:rPr>
        <w:footnoteRef/>
      </w:r>
      <w:r>
        <w:t xml:space="preserve"> </w:t>
      </w:r>
      <w:r>
        <w:rPr>
          <w:rFonts w:hint="eastAsia"/>
          <w:sz w:val="18"/>
          <w:szCs w:val="18"/>
        </w:rPr>
        <w:t>附属書</w:t>
      </w:r>
      <w:r>
        <w:rPr>
          <w:rFonts w:hint="eastAsia"/>
          <w:sz w:val="18"/>
          <w:szCs w:val="18"/>
        </w:rPr>
        <w:t>18-B</w:t>
      </w:r>
      <w:r>
        <w:rPr>
          <w:rFonts w:hint="eastAsia"/>
          <w:sz w:val="18"/>
          <w:szCs w:val="18"/>
        </w:rPr>
        <w:t>、附属書</w:t>
      </w:r>
      <w:r>
        <w:rPr>
          <w:rFonts w:hint="eastAsia"/>
          <w:sz w:val="18"/>
          <w:szCs w:val="18"/>
        </w:rPr>
        <w:t>18-C</w:t>
      </w:r>
      <w:r>
        <w:rPr>
          <w:rFonts w:hint="eastAsia"/>
          <w:sz w:val="18"/>
          <w:szCs w:val="18"/>
        </w:rPr>
        <w:t>及び附属書</w:t>
      </w:r>
      <w:r>
        <w:rPr>
          <w:rFonts w:hint="eastAsia"/>
          <w:sz w:val="18"/>
          <w:szCs w:val="18"/>
        </w:rPr>
        <w:t>18-D</w:t>
      </w:r>
      <w:r>
        <w:rPr>
          <w:rFonts w:hint="eastAsia"/>
          <w:sz w:val="18"/>
          <w:szCs w:val="18"/>
        </w:rPr>
        <w:t>は、本条に適用される。</w:t>
      </w:r>
    </w:p>
  </w:footnote>
  <w:footnote w:id="31">
    <w:p w14:paraId="28253AD5" w14:textId="77777777" w:rsidR="00DD0269" w:rsidRDefault="00DD0269">
      <w:pPr>
        <w:pStyle w:val="a8"/>
        <w:rPr>
          <w:sz w:val="18"/>
          <w:szCs w:val="18"/>
        </w:rPr>
      </w:pPr>
      <w:r>
        <w:rPr>
          <w:rStyle w:val="aa"/>
        </w:rPr>
        <w:footnoteRef/>
      </w:r>
      <w:r>
        <w:t xml:space="preserve"> </w:t>
      </w:r>
      <w:r>
        <w:rPr>
          <w:rFonts w:hint="eastAsia"/>
          <w:sz w:val="18"/>
          <w:szCs w:val="18"/>
        </w:rPr>
        <w:t>いずれも本項の保護を次の事柄に拡大すること</w:t>
      </w:r>
      <w:r w:rsidR="005319D0">
        <w:rPr>
          <w:rFonts w:hint="eastAsia"/>
          <w:sz w:val="18"/>
          <w:szCs w:val="18"/>
        </w:rPr>
        <w:t>締約国に要求するものではない</w:t>
      </w:r>
      <w:r>
        <w:rPr>
          <w:rFonts w:hint="eastAsia"/>
          <w:sz w:val="18"/>
          <w:szCs w:val="18"/>
        </w:rPr>
        <w:t>。</w:t>
      </w:r>
    </w:p>
    <w:p w14:paraId="374EC59C" w14:textId="77777777" w:rsidR="00DD0269" w:rsidRDefault="00DD0269" w:rsidP="00DD0269">
      <w:pPr>
        <w:pStyle w:val="a8"/>
        <w:numPr>
          <w:ilvl w:val="0"/>
          <w:numId w:val="3"/>
        </w:numPr>
        <w:rPr>
          <w:sz w:val="18"/>
          <w:szCs w:val="18"/>
        </w:rPr>
      </w:pPr>
      <w:r>
        <w:rPr>
          <w:rFonts w:hint="eastAsia"/>
          <w:sz w:val="18"/>
          <w:szCs w:val="18"/>
        </w:rPr>
        <w:t>当該医薬品の第２の又は後続の販売承認</w:t>
      </w:r>
    </w:p>
    <w:p w14:paraId="63FFCF68" w14:textId="77777777" w:rsidR="00DD0269" w:rsidRPr="00DD0269" w:rsidRDefault="00DD0269" w:rsidP="00DD0269">
      <w:pPr>
        <w:pStyle w:val="a8"/>
        <w:numPr>
          <w:ilvl w:val="0"/>
          <w:numId w:val="3"/>
        </w:numPr>
        <w:rPr>
          <w:sz w:val="18"/>
          <w:szCs w:val="18"/>
        </w:rPr>
      </w:pPr>
      <w:r>
        <w:rPr>
          <w:rFonts w:hint="eastAsia"/>
          <w:sz w:val="18"/>
          <w:szCs w:val="18"/>
        </w:rPr>
        <w:t>従前に承認された生物製剤である、又は生物製剤を含む医薬品</w:t>
      </w:r>
    </w:p>
  </w:footnote>
  <w:footnote w:id="32">
    <w:p w14:paraId="67C4AB89" w14:textId="77777777" w:rsidR="00DD0269" w:rsidRPr="00DD0269" w:rsidRDefault="00DD0269">
      <w:pPr>
        <w:pStyle w:val="a8"/>
        <w:rPr>
          <w:sz w:val="18"/>
          <w:szCs w:val="18"/>
        </w:rPr>
      </w:pPr>
      <w:r>
        <w:rPr>
          <w:rStyle w:val="aa"/>
        </w:rPr>
        <w:footnoteRef/>
      </w:r>
      <w:r>
        <w:t xml:space="preserve"> </w:t>
      </w:r>
      <w:r>
        <w:rPr>
          <w:rFonts w:hint="eastAsia"/>
          <w:sz w:val="18"/>
          <w:szCs w:val="18"/>
        </w:rPr>
        <w:t>各締約国は、</w:t>
      </w:r>
      <w:r w:rsidR="003F2ADA">
        <w:rPr>
          <w:rFonts w:hint="eastAsia"/>
          <w:sz w:val="18"/>
          <w:szCs w:val="18"/>
        </w:rPr>
        <w:t>申請者が、当該締約国のための本協定の発効日の</w:t>
      </w:r>
      <w:r w:rsidR="003F2ADA">
        <w:rPr>
          <w:rFonts w:hint="eastAsia"/>
          <w:sz w:val="18"/>
          <w:szCs w:val="18"/>
        </w:rPr>
        <w:t>5</w:t>
      </w:r>
      <w:r w:rsidR="003F2ADA">
        <w:rPr>
          <w:rFonts w:hint="eastAsia"/>
          <w:sz w:val="18"/>
          <w:szCs w:val="18"/>
        </w:rPr>
        <w:t>年以内に、</w:t>
      </w:r>
      <w:r>
        <w:rPr>
          <w:rFonts w:hint="eastAsia"/>
          <w:sz w:val="18"/>
          <w:szCs w:val="18"/>
        </w:rPr>
        <w:t>第</w:t>
      </w:r>
      <w:r>
        <w:rPr>
          <w:rFonts w:hint="eastAsia"/>
          <w:sz w:val="18"/>
          <w:szCs w:val="18"/>
        </w:rPr>
        <w:t>18.50.1(a)</w:t>
      </w:r>
      <w:r>
        <w:rPr>
          <w:rFonts w:hint="eastAsia"/>
          <w:sz w:val="18"/>
          <w:szCs w:val="18"/>
        </w:rPr>
        <w:t>条及び第</w:t>
      </w:r>
      <w:r>
        <w:rPr>
          <w:rFonts w:hint="eastAsia"/>
          <w:sz w:val="18"/>
          <w:szCs w:val="18"/>
        </w:rPr>
        <w:t>18.50.1(b)</w:t>
      </w:r>
      <w:r>
        <w:rPr>
          <w:rFonts w:hint="eastAsia"/>
          <w:sz w:val="18"/>
          <w:szCs w:val="18"/>
        </w:rPr>
        <w:t>条（</w:t>
      </w:r>
      <w:r w:rsidR="003F2ADA">
        <w:rPr>
          <w:rFonts w:hint="eastAsia"/>
          <w:sz w:val="18"/>
          <w:szCs w:val="18"/>
        </w:rPr>
        <w:t>非開示の試験データその他のデータの保護）に定める手続きに基づき、生物製剤である、又は生物製剤を含む医薬品の承認を申請することができると定めることができる。但し、同</w:t>
      </w:r>
      <w:r w:rsidR="005319D0">
        <w:rPr>
          <w:rFonts w:hint="eastAsia"/>
          <w:sz w:val="18"/>
          <w:szCs w:val="18"/>
        </w:rPr>
        <w:t>等の</w:t>
      </w:r>
      <w:r w:rsidR="003F2ADA">
        <w:rPr>
          <w:rFonts w:hint="eastAsia"/>
          <w:sz w:val="18"/>
          <w:szCs w:val="18"/>
        </w:rPr>
        <w:t>類の製品の他の医薬品は、当該締約国のための本協定発効日前に、第</w:t>
      </w:r>
      <w:r w:rsidR="003F2ADA">
        <w:rPr>
          <w:rFonts w:hint="eastAsia"/>
          <w:sz w:val="18"/>
          <w:szCs w:val="18"/>
        </w:rPr>
        <w:t>18.50.1(a)</w:t>
      </w:r>
      <w:r w:rsidR="003F2ADA">
        <w:rPr>
          <w:rFonts w:hint="eastAsia"/>
          <w:sz w:val="18"/>
          <w:szCs w:val="18"/>
        </w:rPr>
        <w:t>条及び第</w:t>
      </w:r>
      <w:r w:rsidR="003F2ADA">
        <w:rPr>
          <w:rFonts w:hint="eastAsia"/>
          <w:sz w:val="18"/>
          <w:szCs w:val="18"/>
        </w:rPr>
        <w:t>18.50.1(b)</w:t>
      </w:r>
      <w:r w:rsidR="003F2ADA">
        <w:rPr>
          <w:rFonts w:hint="eastAsia"/>
          <w:sz w:val="18"/>
          <w:szCs w:val="18"/>
        </w:rPr>
        <w:t>条に定める手続きに基づき、当該締約国が承認したものとする。</w:t>
      </w:r>
    </w:p>
  </w:footnote>
  <w:footnote w:id="33">
    <w:p w14:paraId="7EF5900A" w14:textId="77777777" w:rsidR="003F2ADA" w:rsidRPr="003F2ADA" w:rsidRDefault="003F2ADA">
      <w:pPr>
        <w:pStyle w:val="a8"/>
        <w:rPr>
          <w:sz w:val="18"/>
          <w:szCs w:val="18"/>
        </w:rPr>
      </w:pPr>
      <w:r>
        <w:rPr>
          <w:rStyle w:val="aa"/>
        </w:rPr>
        <w:footnoteRef/>
      </w:r>
      <w:r>
        <w:t xml:space="preserve"> </w:t>
      </w:r>
      <w:r>
        <w:rPr>
          <w:rFonts w:hint="eastAsia"/>
          <w:sz w:val="18"/>
          <w:szCs w:val="18"/>
        </w:rPr>
        <w:t>本条に関して、締約国は、役に立つ</w:t>
      </w:r>
      <w:r w:rsidR="00FC7604">
        <w:rPr>
          <w:rFonts w:hint="eastAsia"/>
          <w:sz w:val="18"/>
          <w:szCs w:val="18"/>
        </w:rPr>
        <w:t>という</w:t>
      </w:r>
      <w:r>
        <w:rPr>
          <w:rFonts w:hint="eastAsia"/>
          <w:sz w:val="18"/>
          <w:szCs w:val="18"/>
        </w:rPr>
        <w:t>意味で、「含む」とすることができる。</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D4D41" w14:textId="77777777" w:rsidR="00F971B1" w:rsidRPr="00F971B1" w:rsidRDefault="00F971B1" w:rsidP="00F971B1">
    <w:pPr>
      <w:pStyle w:val="a3"/>
      <w:jc w:val="center"/>
      <w:rPr>
        <w:sz w:val="18"/>
        <w:szCs w:val="18"/>
      </w:rPr>
    </w:pPr>
    <w:r w:rsidRPr="00F971B1">
      <w:rPr>
        <w:rFonts w:hint="eastAsia"/>
        <w:sz w:val="18"/>
        <w:szCs w:val="18"/>
      </w:rPr>
      <w:t>正確性、明瞭性及び一貫性のための英語、スペイン語及びフランス語による法律的な検討に従う。</w:t>
    </w:r>
  </w:p>
  <w:p w14:paraId="56D99EFD" w14:textId="77777777" w:rsidR="00F971B1" w:rsidRPr="00F971B1" w:rsidRDefault="00F971B1" w:rsidP="00F971B1">
    <w:pPr>
      <w:pStyle w:val="a3"/>
      <w:jc w:val="center"/>
      <w:rPr>
        <w:sz w:val="18"/>
        <w:szCs w:val="18"/>
      </w:rPr>
    </w:pPr>
    <w:r w:rsidRPr="00F971B1">
      <w:rPr>
        <w:rFonts w:hint="eastAsia"/>
        <w:sz w:val="18"/>
        <w:szCs w:val="18"/>
      </w:rPr>
      <w:t>英語、スペイン語及びフランス語版の承認に従う。</w:t>
    </w:r>
  </w:p>
  <w:p w14:paraId="18227A5C" w14:textId="77777777" w:rsidR="00F971B1" w:rsidRPr="00F971B1" w:rsidRDefault="00F971B1">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026FF"/>
    <w:multiLevelType w:val="hybridMultilevel"/>
    <w:tmpl w:val="C5B8AF92"/>
    <w:lvl w:ilvl="0" w:tplc="30B2829A">
      <w:start w:val="1"/>
      <w:numFmt w:val="lowerLetter"/>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50035652"/>
    <w:multiLevelType w:val="hybridMultilevel"/>
    <w:tmpl w:val="539E5360"/>
    <w:lvl w:ilvl="0" w:tplc="4AAAC432">
      <w:start w:val="1"/>
      <w:numFmt w:val="decimal"/>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087450F"/>
    <w:multiLevelType w:val="hybridMultilevel"/>
    <w:tmpl w:val="0D1094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神田育子">
    <w15:presenceInfo w15:providerId="Windows Live" w15:userId="5cf9f09405c1d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6C"/>
    <w:rsid w:val="00003EDD"/>
    <w:rsid w:val="00013854"/>
    <w:rsid w:val="00030737"/>
    <w:rsid w:val="00032DEC"/>
    <w:rsid w:val="00047B10"/>
    <w:rsid w:val="00072CB5"/>
    <w:rsid w:val="00080EAA"/>
    <w:rsid w:val="000846BE"/>
    <w:rsid w:val="000972C5"/>
    <w:rsid w:val="000A736E"/>
    <w:rsid w:val="000C5477"/>
    <w:rsid w:val="000C6A82"/>
    <w:rsid w:val="000E0C9E"/>
    <w:rsid w:val="000E67A3"/>
    <w:rsid w:val="000F0FCF"/>
    <w:rsid w:val="000F3534"/>
    <w:rsid w:val="000F4A17"/>
    <w:rsid w:val="00111FEA"/>
    <w:rsid w:val="00112A0D"/>
    <w:rsid w:val="001369E1"/>
    <w:rsid w:val="00141F91"/>
    <w:rsid w:val="0014215A"/>
    <w:rsid w:val="00146DDB"/>
    <w:rsid w:val="00147696"/>
    <w:rsid w:val="0016235E"/>
    <w:rsid w:val="001633D9"/>
    <w:rsid w:val="00166A7F"/>
    <w:rsid w:val="001752CF"/>
    <w:rsid w:val="00175B8E"/>
    <w:rsid w:val="001763D5"/>
    <w:rsid w:val="001A1C6C"/>
    <w:rsid w:val="001C6647"/>
    <w:rsid w:val="001D6986"/>
    <w:rsid w:val="001D7D36"/>
    <w:rsid w:val="001F2308"/>
    <w:rsid w:val="0022654C"/>
    <w:rsid w:val="0022657F"/>
    <w:rsid w:val="00233131"/>
    <w:rsid w:val="00234D16"/>
    <w:rsid w:val="00251CD7"/>
    <w:rsid w:val="00254470"/>
    <w:rsid w:val="00256D11"/>
    <w:rsid w:val="002844B5"/>
    <w:rsid w:val="0029337B"/>
    <w:rsid w:val="002A7AB1"/>
    <w:rsid w:val="002C1286"/>
    <w:rsid w:val="002E55F1"/>
    <w:rsid w:val="002F1423"/>
    <w:rsid w:val="002F2002"/>
    <w:rsid w:val="00313BCD"/>
    <w:rsid w:val="00315740"/>
    <w:rsid w:val="00330453"/>
    <w:rsid w:val="00334548"/>
    <w:rsid w:val="00343541"/>
    <w:rsid w:val="00387FA3"/>
    <w:rsid w:val="00392F37"/>
    <w:rsid w:val="00394866"/>
    <w:rsid w:val="003A3DCB"/>
    <w:rsid w:val="003A494E"/>
    <w:rsid w:val="003A78EF"/>
    <w:rsid w:val="003B044D"/>
    <w:rsid w:val="003B231A"/>
    <w:rsid w:val="003B4961"/>
    <w:rsid w:val="003D3A06"/>
    <w:rsid w:val="003D5799"/>
    <w:rsid w:val="003E1147"/>
    <w:rsid w:val="003E6C0F"/>
    <w:rsid w:val="003F2ADA"/>
    <w:rsid w:val="00415C26"/>
    <w:rsid w:val="004255AD"/>
    <w:rsid w:val="00441338"/>
    <w:rsid w:val="00462D55"/>
    <w:rsid w:val="004660A6"/>
    <w:rsid w:val="004673BA"/>
    <w:rsid w:val="00474CD3"/>
    <w:rsid w:val="00490AA3"/>
    <w:rsid w:val="004930B7"/>
    <w:rsid w:val="004964AE"/>
    <w:rsid w:val="004A21BF"/>
    <w:rsid w:val="004A2BE1"/>
    <w:rsid w:val="004A5304"/>
    <w:rsid w:val="004B1571"/>
    <w:rsid w:val="004B15D4"/>
    <w:rsid w:val="004E20D4"/>
    <w:rsid w:val="004E3311"/>
    <w:rsid w:val="004E332D"/>
    <w:rsid w:val="004F4915"/>
    <w:rsid w:val="0050190E"/>
    <w:rsid w:val="005034E2"/>
    <w:rsid w:val="00506254"/>
    <w:rsid w:val="00512273"/>
    <w:rsid w:val="0052634A"/>
    <w:rsid w:val="005319D0"/>
    <w:rsid w:val="00531E34"/>
    <w:rsid w:val="005447CF"/>
    <w:rsid w:val="00546539"/>
    <w:rsid w:val="00546BA7"/>
    <w:rsid w:val="0055291D"/>
    <w:rsid w:val="00556E74"/>
    <w:rsid w:val="005604EB"/>
    <w:rsid w:val="0057073B"/>
    <w:rsid w:val="00571256"/>
    <w:rsid w:val="00590B34"/>
    <w:rsid w:val="005A5338"/>
    <w:rsid w:val="005B61A6"/>
    <w:rsid w:val="005C1BFF"/>
    <w:rsid w:val="005D1C47"/>
    <w:rsid w:val="005E6646"/>
    <w:rsid w:val="005F376A"/>
    <w:rsid w:val="005F4B69"/>
    <w:rsid w:val="0060794A"/>
    <w:rsid w:val="00616737"/>
    <w:rsid w:val="00617619"/>
    <w:rsid w:val="00617E0E"/>
    <w:rsid w:val="00623193"/>
    <w:rsid w:val="006276FC"/>
    <w:rsid w:val="006404AC"/>
    <w:rsid w:val="006626BE"/>
    <w:rsid w:val="0066584B"/>
    <w:rsid w:val="00682F21"/>
    <w:rsid w:val="006859D9"/>
    <w:rsid w:val="006A449B"/>
    <w:rsid w:val="006A57E8"/>
    <w:rsid w:val="006A78DE"/>
    <w:rsid w:val="006B63C2"/>
    <w:rsid w:val="006C5ACB"/>
    <w:rsid w:val="00733373"/>
    <w:rsid w:val="00735FCD"/>
    <w:rsid w:val="00737FC9"/>
    <w:rsid w:val="00747E14"/>
    <w:rsid w:val="00763515"/>
    <w:rsid w:val="00763EEB"/>
    <w:rsid w:val="00773582"/>
    <w:rsid w:val="00775B60"/>
    <w:rsid w:val="007872B0"/>
    <w:rsid w:val="007A0FD2"/>
    <w:rsid w:val="007A3824"/>
    <w:rsid w:val="007B0913"/>
    <w:rsid w:val="007B6819"/>
    <w:rsid w:val="007C00F2"/>
    <w:rsid w:val="007C30A1"/>
    <w:rsid w:val="007D20C4"/>
    <w:rsid w:val="007D5EED"/>
    <w:rsid w:val="007E2B61"/>
    <w:rsid w:val="007F0CE6"/>
    <w:rsid w:val="008249E8"/>
    <w:rsid w:val="008365C3"/>
    <w:rsid w:val="00851A60"/>
    <w:rsid w:val="00861D6D"/>
    <w:rsid w:val="0089217F"/>
    <w:rsid w:val="00893DE7"/>
    <w:rsid w:val="008A3D3A"/>
    <w:rsid w:val="008C0111"/>
    <w:rsid w:val="008C1A63"/>
    <w:rsid w:val="008E16FB"/>
    <w:rsid w:val="008F7A15"/>
    <w:rsid w:val="008F7C56"/>
    <w:rsid w:val="00910FE4"/>
    <w:rsid w:val="00913779"/>
    <w:rsid w:val="009161B6"/>
    <w:rsid w:val="009169B5"/>
    <w:rsid w:val="00917EB3"/>
    <w:rsid w:val="00931EDC"/>
    <w:rsid w:val="0094437D"/>
    <w:rsid w:val="009446F2"/>
    <w:rsid w:val="00947F50"/>
    <w:rsid w:val="009509F8"/>
    <w:rsid w:val="00960D3E"/>
    <w:rsid w:val="00981404"/>
    <w:rsid w:val="00984F89"/>
    <w:rsid w:val="00991B5E"/>
    <w:rsid w:val="009A490D"/>
    <w:rsid w:val="009B1864"/>
    <w:rsid w:val="009B72E3"/>
    <w:rsid w:val="009C2B39"/>
    <w:rsid w:val="009D1BF6"/>
    <w:rsid w:val="009D3AA5"/>
    <w:rsid w:val="009F2311"/>
    <w:rsid w:val="009F4D67"/>
    <w:rsid w:val="00A00458"/>
    <w:rsid w:val="00A05828"/>
    <w:rsid w:val="00A11108"/>
    <w:rsid w:val="00A22330"/>
    <w:rsid w:val="00A23581"/>
    <w:rsid w:val="00A2662D"/>
    <w:rsid w:val="00A604D0"/>
    <w:rsid w:val="00A6372C"/>
    <w:rsid w:val="00A72D35"/>
    <w:rsid w:val="00A85F9D"/>
    <w:rsid w:val="00A900BB"/>
    <w:rsid w:val="00A928B4"/>
    <w:rsid w:val="00AB42F7"/>
    <w:rsid w:val="00AB463B"/>
    <w:rsid w:val="00AB5115"/>
    <w:rsid w:val="00AC42C9"/>
    <w:rsid w:val="00B04275"/>
    <w:rsid w:val="00B060AC"/>
    <w:rsid w:val="00B12BCE"/>
    <w:rsid w:val="00B15351"/>
    <w:rsid w:val="00B20F74"/>
    <w:rsid w:val="00B25B57"/>
    <w:rsid w:val="00B449E5"/>
    <w:rsid w:val="00B72190"/>
    <w:rsid w:val="00B72A1F"/>
    <w:rsid w:val="00B73249"/>
    <w:rsid w:val="00B92A26"/>
    <w:rsid w:val="00BA16BF"/>
    <w:rsid w:val="00BA450F"/>
    <w:rsid w:val="00BA4942"/>
    <w:rsid w:val="00BC1B3C"/>
    <w:rsid w:val="00BE7925"/>
    <w:rsid w:val="00BF76A6"/>
    <w:rsid w:val="00C0670E"/>
    <w:rsid w:val="00C232DF"/>
    <w:rsid w:val="00C24DF1"/>
    <w:rsid w:val="00C50727"/>
    <w:rsid w:val="00C563F8"/>
    <w:rsid w:val="00C56766"/>
    <w:rsid w:val="00C62A2B"/>
    <w:rsid w:val="00C63775"/>
    <w:rsid w:val="00C64981"/>
    <w:rsid w:val="00C74A45"/>
    <w:rsid w:val="00C836BD"/>
    <w:rsid w:val="00CA36C5"/>
    <w:rsid w:val="00CB040E"/>
    <w:rsid w:val="00CB683A"/>
    <w:rsid w:val="00CC6D12"/>
    <w:rsid w:val="00CD5489"/>
    <w:rsid w:val="00CD6936"/>
    <w:rsid w:val="00CE061E"/>
    <w:rsid w:val="00CE2419"/>
    <w:rsid w:val="00CE650E"/>
    <w:rsid w:val="00CF3687"/>
    <w:rsid w:val="00CF3EBA"/>
    <w:rsid w:val="00CF4BC6"/>
    <w:rsid w:val="00D01020"/>
    <w:rsid w:val="00D057CF"/>
    <w:rsid w:val="00D11E8B"/>
    <w:rsid w:val="00D25E5B"/>
    <w:rsid w:val="00D56419"/>
    <w:rsid w:val="00D621BD"/>
    <w:rsid w:val="00D730B4"/>
    <w:rsid w:val="00D7376B"/>
    <w:rsid w:val="00DD0269"/>
    <w:rsid w:val="00DD25EB"/>
    <w:rsid w:val="00DD373C"/>
    <w:rsid w:val="00DD5A13"/>
    <w:rsid w:val="00DD6669"/>
    <w:rsid w:val="00DE3A08"/>
    <w:rsid w:val="00DF3858"/>
    <w:rsid w:val="00DF6D6D"/>
    <w:rsid w:val="00E00EE6"/>
    <w:rsid w:val="00E200F7"/>
    <w:rsid w:val="00E2034C"/>
    <w:rsid w:val="00E24A10"/>
    <w:rsid w:val="00E26AE9"/>
    <w:rsid w:val="00E30758"/>
    <w:rsid w:val="00E43AAB"/>
    <w:rsid w:val="00E47FF2"/>
    <w:rsid w:val="00E551BD"/>
    <w:rsid w:val="00E55A25"/>
    <w:rsid w:val="00E56FFF"/>
    <w:rsid w:val="00E62438"/>
    <w:rsid w:val="00E64C34"/>
    <w:rsid w:val="00E7087E"/>
    <w:rsid w:val="00E70DA1"/>
    <w:rsid w:val="00EB135C"/>
    <w:rsid w:val="00EB1CA8"/>
    <w:rsid w:val="00EC1649"/>
    <w:rsid w:val="00EE54C0"/>
    <w:rsid w:val="00EE6BDC"/>
    <w:rsid w:val="00EE6DF7"/>
    <w:rsid w:val="00EF24E5"/>
    <w:rsid w:val="00EF7359"/>
    <w:rsid w:val="00F015B1"/>
    <w:rsid w:val="00F02DD2"/>
    <w:rsid w:val="00F1764F"/>
    <w:rsid w:val="00F17A08"/>
    <w:rsid w:val="00F21188"/>
    <w:rsid w:val="00F37445"/>
    <w:rsid w:val="00F62106"/>
    <w:rsid w:val="00F628EB"/>
    <w:rsid w:val="00F6499A"/>
    <w:rsid w:val="00F777DC"/>
    <w:rsid w:val="00F971B1"/>
    <w:rsid w:val="00FA4F86"/>
    <w:rsid w:val="00FA71AD"/>
    <w:rsid w:val="00FB341B"/>
    <w:rsid w:val="00FB7D3B"/>
    <w:rsid w:val="00FC4561"/>
    <w:rsid w:val="00FC7024"/>
    <w:rsid w:val="00FC7604"/>
    <w:rsid w:val="00FD6ED7"/>
    <w:rsid w:val="00FD79E5"/>
    <w:rsid w:val="00FF2CE7"/>
    <w:rsid w:val="00FF6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56F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E0E"/>
    <w:pPr>
      <w:tabs>
        <w:tab w:val="center" w:pos="4252"/>
        <w:tab w:val="right" w:pos="8504"/>
      </w:tabs>
      <w:snapToGrid w:val="0"/>
    </w:pPr>
  </w:style>
  <w:style w:type="character" w:customStyle="1" w:styleId="a4">
    <w:name w:val="ヘッダー (文字)"/>
    <w:basedOn w:val="a0"/>
    <w:link w:val="a3"/>
    <w:uiPriority w:val="99"/>
    <w:rsid w:val="00617E0E"/>
  </w:style>
  <w:style w:type="paragraph" w:styleId="a5">
    <w:name w:val="footer"/>
    <w:basedOn w:val="a"/>
    <w:link w:val="a6"/>
    <w:uiPriority w:val="99"/>
    <w:unhideWhenUsed/>
    <w:rsid w:val="00617E0E"/>
    <w:pPr>
      <w:tabs>
        <w:tab w:val="center" w:pos="4252"/>
        <w:tab w:val="right" w:pos="8504"/>
      </w:tabs>
      <w:snapToGrid w:val="0"/>
    </w:pPr>
  </w:style>
  <w:style w:type="character" w:customStyle="1" w:styleId="a6">
    <w:name w:val="フッター (文字)"/>
    <w:basedOn w:val="a0"/>
    <w:link w:val="a5"/>
    <w:uiPriority w:val="99"/>
    <w:rsid w:val="00617E0E"/>
  </w:style>
  <w:style w:type="paragraph" w:styleId="a7">
    <w:name w:val="List Paragraph"/>
    <w:basedOn w:val="a"/>
    <w:uiPriority w:val="34"/>
    <w:qFormat/>
    <w:rsid w:val="00EB135C"/>
    <w:pPr>
      <w:ind w:leftChars="400" w:left="840"/>
    </w:pPr>
  </w:style>
  <w:style w:type="paragraph" w:styleId="a8">
    <w:name w:val="footnote text"/>
    <w:basedOn w:val="a"/>
    <w:link w:val="a9"/>
    <w:uiPriority w:val="99"/>
    <w:semiHidden/>
    <w:unhideWhenUsed/>
    <w:rsid w:val="005E6646"/>
    <w:pPr>
      <w:snapToGrid w:val="0"/>
      <w:jc w:val="left"/>
    </w:pPr>
  </w:style>
  <w:style w:type="character" w:customStyle="1" w:styleId="a9">
    <w:name w:val="脚注文字列 (文字)"/>
    <w:basedOn w:val="a0"/>
    <w:link w:val="a8"/>
    <w:uiPriority w:val="99"/>
    <w:semiHidden/>
    <w:rsid w:val="005E6646"/>
  </w:style>
  <w:style w:type="character" w:styleId="aa">
    <w:name w:val="footnote reference"/>
    <w:basedOn w:val="a0"/>
    <w:uiPriority w:val="99"/>
    <w:semiHidden/>
    <w:unhideWhenUsed/>
    <w:rsid w:val="005E6646"/>
    <w:rPr>
      <w:vertAlign w:val="superscript"/>
    </w:rPr>
  </w:style>
  <w:style w:type="character" w:styleId="ab">
    <w:name w:val="annotation reference"/>
    <w:basedOn w:val="a0"/>
    <w:uiPriority w:val="99"/>
    <w:semiHidden/>
    <w:unhideWhenUsed/>
    <w:rsid w:val="008365C3"/>
    <w:rPr>
      <w:sz w:val="18"/>
      <w:szCs w:val="18"/>
    </w:rPr>
  </w:style>
  <w:style w:type="paragraph" w:styleId="ac">
    <w:name w:val="annotation text"/>
    <w:basedOn w:val="a"/>
    <w:link w:val="ad"/>
    <w:uiPriority w:val="99"/>
    <w:semiHidden/>
    <w:unhideWhenUsed/>
    <w:rsid w:val="008365C3"/>
    <w:pPr>
      <w:jc w:val="left"/>
    </w:pPr>
  </w:style>
  <w:style w:type="character" w:customStyle="1" w:styleId="ad">
    <w:name w:val="コメント文字列 (文字)"/>
    <w:basedOn w:val="a0"/>
    <w:link w:val="ac"/>
    <w:uiPriority w:val="99"/>
    <w:semiHidden/>
    <w:rsid w:val="008365C3"/>
  </w:style>
  <w:style w:type="paragraph" w:styleId="ae">
    <w:name w:val="annotation subject"/>
    <w:basedOn w:val="ac"/>
    <w:next w:val="ac"/>
    <w:link w:val="af"/>
    <w:uiPriority w:val="99"/>
    <w:semiHidden/>
    <w:unhideWhenUsed/>
    <w:rsid w:val="008365C3"/>
    <w:rPr>
      <w:b/>
      <w:bCs/>
    </w:rPr>
  </w:style>
  <w:style w:type="character" w:customStyle="1" w:styleId="af">
    <w:name w:val="コメント内容 (文字)"/>
    <w:basedOn w:val="ad"/>
    <w:link w:val="ae"/>
    <w:uiPriority w:val="99"/>
    <w:semiHidden/>
    <w:rsid w:val="008365C3"/>
    <w:rPr>
      <w:b/>
      <w:bCs/>
    </w:rPr>
  </w:style>
  <w:style w:type="paragraph" w:styleId="af0">
    <w:name w:val="Balloon Text"/>
    <w:basedOn w:val="a"/>
    <w:link w:val="af1"/>
    <w:uiPriority w:val="99"/>
    <w:semiHidden/>
    <w:unhideWhenUsed/>
    <w:rsid w:val="008365C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365C3"/>
    <w:rPr>
      <w:rFonts w:asciiTheme="majorHAnsi" w:eastAsiaTheme="majorEastAsia" w:hAnsiTheme="majorHAnsi" w:cstheme="majorBidi"/>
      <w:sz w:val="18"/>
      <w:szCs w:val="18"/>
    </w:rPr>
  </w:style>
  <w:style w:type="paragraph" w:styleId="af2">
    <w:name w:val="Revision"/>
    <w:hidden/>
    <w:uiPriority w:val="99"/>
    <w:semiHidden/>
    <w:rsid w:val="008365C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E0E"/>
    <w:pPr>
      <w:tabs>
        <w:tab w:val="center" w:pos="4252"/>
        <w:tab w:val="right" w:pos="8504"/>
      </w:tabs>
      <w:snapToGrid w:val="0"/>
    </w:pPr>
  </w:style>
  <w:style w:type="character" w:customStyle="1" w:styleId="a4">
    <w:name w:val="ヘッダー (文字)"/>
    <w:basedOn w:val="a0"/>
    <w:link w:val="a3"/>
    <w:uiPriority w:val="99"/>
    <w:rsid w:val="00617E0E"/>
  </w:style>
  <w:style w:type="paragraph" w:styleId="a5">
    <w:name w:val="footer"/>
    <w:basedOn w:val="a"/>
    <w:link w:val="a6"/>
    <w:uiPriority w:val="99"/>
    <w:unhideWhenUsed/>
    <w:rsid w:val="00617E0E"/>
    <w:pPr>
      <w:tabs>
        <w:tab w:val="center" w:pos="4252"/>
        <w:tab w:val="right" w:pos="8504"/>
      </w:tabs>
      <w:snapToGrid w:val="0"/>
    </w:pPr>
  </w:style>
  <w:style w:type="character" w:customStyle="1" w:styleId="a6">
    <w:name w:val="フッター (文字)"/>
    <w:basedOn w:val="a0"/>
    <w:link w:val="a5"/>
    <w:uiPriority w:val="99"/>
    <w:rsid w:val="00617E0E"/>
  </w:style>
  <w:style w:type="paragraph" w:styleId="a7">
    <w:name w:val="List Paragraph"/>
    <w:basedOn w:val="a"/>
    <w:uiPriority w:val="34"/>
    <w:qFormat/>
    <w:rsid w:val="00EB135C"/>
    <w:pPr>
      <w:ind w:leftChars="400" w:left="840"/>
    </w:pPr>
  </w:style>
  <w:style w:type="paragraph" w:styleId="a8">
    <w:name w:val="footnote text"/>
    <w:basedOn w:val="a"/>
    <w:link w:val="a9"/>
    <w:uiPriority w:val="99"/>
    <w:semiHidden/>
    <w:unhideWhenUsed/>
    <w:rsid w:val="005E6646"/>
    <w:pPr>
      <w:snapToGrid w:val="0"/>
      <w:jc w:val="left"/>
    </w:pPr>
  </w:style>
  <w:style w:type="character" w:customStyle="1" w:styleId="a9">
    <w:name w:val="脚注文字列 (文字)"/>
    <w:basedOn w:val="a0"/>
    <w:link w:val="a8"/>
    <w:uiPriority w:val="99"/>
    <w:semiHidden/>
    <w:rsid w:val="005E6646"/>
  </w:style>
  <w:style w:type="character" w:styleId="aa">
    <w:name w:val="footnote reference"/>
    <w:basedOn w:val="a0"/>
    <w:uiPriority w:val="99"/>
    <w:semiHidden/>
    <w:unhideWhenUsed/>
    <w:rsid w:val="005E6646"/>
    <w:rPr>
      <w:vertAlign w:val="superscript"/>
    </w:rPr>
  </w:style>
  <w:style w:type="character" w:styleId="ab">
    <w:name w:val="annotation reference"/>
    <w:basedOn w:val="a0"/>
    <w:uiPriority w:val="99"/>
    <w:semiHidden/>
    <w:unhideWhenUsed/>
    <w:rsid w:val="008365C3"/>
    <w:rPr>
      <w:sz w:val="18"/>
      <w:szCs w:val="18"/>
    </w:rPr>
  </w:style>
  <w:style w:type="paragraph" w:styleId="ac">
    <w:name w:val="annotation text"/>
    <w:basedOn w:val="a"/>
    <w:link w:val="ad"/>
    <w:uiPriority w:val="99"/>
    <w:semiHidden/>
    <w:unhideWhenUsed/>
    <w:rsid w:val="008365C3"/>
    <w:pPr>
      <w:jc w:val="left"/>
    </w:pPr>
  </w:style>
  <w:style w:type="character" w:customStyle="1" w:styleId="ad">
    <w:name w:val="コメント文字列 (文字)"/>
    <w:basedOn w:val="a0"/>
    <w:link w:val="ac"/>
    <w:uiPriority w:val="99"/>
    <w:semiHidden/>
    <w:rsid w:val="008365C3"/>
  </w:style>
  <w:style w:type="paragraph" w:styleId="ae">
    <w:name w:val="annotation subject"/>
    <w:basedOn w:val="ac"/>
    <w:next w:val="ac"/>
    <w:link w:val="af"/>
    <w:uiPriority w:val="99"/>
    <w:semiHidden/>
    <w:unhideWhenUsed/>
    <w:rsid w:val="008365C3"/>
    <w:rPr>
      <w:b/>
      <w:bCs/>
    </w:rPr>
  </w:style>
  <w:style w:type="character" w:customStyle="1" w:styleId="af">
    <w:name w:val="コメント内容 (文字)"/>
    <w:basedOn w:val="ad"/>
    <w:link w:val="ae"/>
    <w:uiPriority w:val="99"/>
    <w:semiHidden/>
    <w:rsid w:val="008365C3"/>
    <w:rPr>
      <w:b/>
      <w:bCs/>
    </w:rPr>
  </w:style>
  <w:style w:type="paragraph" w:styleId="af0">
    <w:name w:val="Balloon Text"/>
    <w:basedOn w:val="a"/>
    <w:link w:val="af1"/>
    <w:uiPriority w:val="99"/>
    <w:semiHidden/>
    <w:unhideWhenUsed/>
    <w:rsid w:val="008365C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365C3"/>
    <w:rPr>
      <w:rFonts w:asciiTheme="majorHAnsi" w:eastAsiaTheme="majorEastAsia" w:hAnsiTheme="majorHAnsi" w:cstheme="majorBidi"/>
      <w:sz w:val="18"/>
      <w:szCs w:val="18"/>
    </w:rPr>
  </w:style>
  <w:style w:type="paragraph" w:styleId="af2">
    <w:name w:val="Revision"/>
    <w:hidden/>
    <w:uiPriority w:val="99"/>
    <w:semiHidden/>
    <w:rsid w:val="00836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6B7B6-5778-A84F-A42E-5B940132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1001</Words>
  <Characters>5708</Characters>
  <Application>Microsoft Macintosh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神田育子</dc:creator>
  <cp:lastModifiedBy>NIITSU Kumiko</cp:lastModifiedBy>
  <cp:revision>2</cp:revision>
  <cp:lastPrinted>2015-12-20T12:47:00Z</cp:lastPrinted>
  <dcterms:created xsi:type="dcterms:W3CDTF">2015-12-21T02:28:00Z</dcterms:created>
  <dcterms:modified xsi:type="dcterms:W3CDTF">2015-12-21T02:28:00Z</dcterms:modified>
</cp:coreProperties>
</file>